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823F0" w:rsidRDefault="00867828">
      <w:bookmarkStart w:id="0" w:name="_heading=h.mp7qej6238sb" w:colFirst="0" w:colLast="0"/>
      <w:bookmarkStart w:id="1" w:name="_GoBack"/>
      <w:bookmarkEnd w:id="0"/>
      <w:bookmarkEnd w:id="1"/>
      <w:r>
        <w:t xml:space="preserve"> </w:t>
      </w:r>
    </w:p>
    <w:p w:rsidR="00C823F0" w:rsidRDefault="00C823F0">
      <w:bookmarkStart w:id="2" w:name="_heading=h.p15fe6p2jtmw" w:colFirst="0" w:colLast="0"/>
      <w:bookmarkEnd w:id="2"/>
    </w:p>
    <w:p w:rsidR="00C823F0" w:rsidRDefault="00867828">
      <w:pPr>
        <w:jc w:val="center"/>
        <w:rPr>
          <w:b/>
        </w:rPr>
      </w:pPr>
      <w:r>
        <w:rPr>
          <w:b/>
        </w:rPr>
        <w:t xml:space="preserve">PROYECTO DE ACUERDO No. </w:t>
      </w:r>
      <w:r w:rsidR="00C203A1">
        <w:rPr>
          <w:b/>
        </w:rPr>
        <w:t>819</w:t>
      </w:r>
      <w:r>
        <w:rPr>
          <w:b/>
        </w:rPr>
        <w:t xml:space="preserve"> DE  2025</w:t>
      </w:r>
    </w:p>
    <w:p w:rsidR="00C823F0" w:rsidRDefault="00C823F0"/>
    <w:p w:rsidR="00C823F0" w:rsidRDefault="00C823F0">
      <w:pPr>
        <w:jc w:val="center"/>
        <w:rPr>
          <w:b/>
        </w:rPr>
      </w:pPr>
    </w:p>
    <w:p w:rsidR="00C823F0" w:rsidRDefault="00867828">
      <w:pPr>
        <w:spacing w:line="360" w:lineRule="auto"/>
        <w:jc w:val="center"/>
        <w:rPr>
          <w:b/>
        </w:rPr>
      </w:pPr>
      <w:r>
        <w:rPr>
          <w:b/>
        </w:rPr>
        <w:t>“Por medio del cual, se transforma la Plaza La Santamaría en un Centro Cultural, Artístico, Deportivo y de Bienestar comunitario y se dictan otras disposiciones”</w:t>
      </w:r>
    </w:p>
    <w:p w:rsidR="00C823F0" w:rsidRDefault="00C823F0">
      <w:pPr>
        <w:spacing w:line="360" w:lineRule="auto"/>
        <w:jc w:val="center"/>
        <w:rPr>
          <w:b/>
        </w:rPr>
      </w:pPr>
    </w:p>
    <w:p w:rsidR="00C823F0" w:rsidRDefault="00C823F0">
      <w:pPr>
        <w:spacing w:line="360" w:lineRule="auto"/>
      </w:pPr>
    </w:p>
    <w:p w:rsidR="00C823F0" w:rsidRDefault="00867828">
      <w:pPr>
        <w:numPr>
          <w:ilvl w:val="0"/>
          <w:numId w:val="1"/>
        </w:numPr>
        <w:pBdr>
          <w:top w:val="nil"/>
          <w:left w:val="nil"/>
          <w:bottom w:val="nil"/>
          <w:right w:val="nil"/>
          <w:between w:val="nil"/>
        </w:pBdr>
        <w:spacing w:line="360" w:lineRule="auto"/>
        <w:rPr>
          <w:b/>
        </w:rPr>
      </w:pPr>
      <w:r>
        <w:rPr>
          <w:b/>
        </w:rPr>
        <w:t>OBJETO DEL PROYECTO DE ACUERDO</w:t>
      </w:r>
    </w:p>
    <w:p w:rsidR="00C823F0" w:rsidRDefault="00C823F0">
      <w:pPr>
        <w:spacing w:line="360" w:lineRule="auto"/>
        <w:rPr>
          <w:b/>
        </w:rPr>
      </w:pPr>
    </w:p>
    <w:p w:rsidR="00C823F0" w:rsidRDefault="00867828">
      <w:pPr>
        <w:spacing w:line="360" w:lineRule="auto"/>
        <w:jc w:val="both"/>
      </w:pPr>
      <w:r>
        <w:t xml:space="preserve">El presente Proyecto de Acuerdo tiene como objeto transformar la Plaza La Santamaría del Distrito Capital en un Centro cultural, artístico, deportivo y de bienestar comunitario. El Acuerdo se fundamenta en el reconocimiento y respeto por la vida animal, así como, la protección y apropiación del patrimonio cultural de la ciudad, en atención a la Ley 2385 de 2024. </w:t>
      </w:r>
    </w:p>
    <w:p w:rsidR="00C823F0" w:rsidRDefault="00C823F0">
      <w:pPr>
        <w:spacing w:line="360" w:lineRule="auto"/>
        <w:jc w:val="both"/>
      </w:pPr>
    </w:p>
    <w:p w:rsidR="00C823F0" w:rsidRDefault="00867828">
      <w:pPr>
        <w:spacing w:line="360" w:lineRule="auto"/>
        <w:jc w:val="both"/>
      </w:pPr>
      <w:r>
        <w:t>Por esta razón, las medidas que se adoptan buscan potenciar la riqueza patrimonial de la ciudad, como un reflejo de la historia  y generar conciencia sobre el maltrato y la crueldad animal, con una apuesta para incentivar la participación ciudadana y dinamizar el desarrollo de las artes, la cultura y el desarrollo económico de la ciudad por medio del turismo, la innovación y la creatividad.</w:t>
      </w:r>
    </w:p>
    <w:p w:rsidR="00C823F0" w:rsidRDefault="00C823F0">
      <w:pPr>
        <w:pBdr>
          <w:top w:val="nil"/>
          <w:left w:val="nil"/>
          <w:bottom w:val="nil"/>
          <w:right w:val="nil"/>
          <w:between w:val="nil"/>
        </w:pBdr>
        <w:spacing w:line="360" w:lineRule="auto"/>
        <w:jc w:val="both"/>
      </w:pPr>
    </w:p>
    <w:p w:rsidR="00C823F0" w:rsidRDefault="00C823F0">
      <w:pPr>
        <w:pBdr>
          <w:top w:val="nil"/>
          <w:left w:val="nil"/>
          <w:bottom w:val="nil"/>
          <w:right w:val="nil"/>
          <w:between w:val="nil"/>
        </w:pBdr>
        <w:spacing w:line="360" w:lineRule="auto"/>
        <w:jc w:val="both"/>
      </w:pPr>
    </w:p>
    <w:p w:rsidR="00C823F0" w:rsidRDefault="00C823F0">
      <w:pPr>
        <w:pBdr>
          <w:top w:val="nil"/>
          <w:left w:val="nil"/>
          <w:bottom w:val="nil"/>
          <w:right w:val="nil"/>
          <w:between w:val="nil"/>
        </w:pBdr>
        <w:spacing w:line="360" w:lineRule="auto"/>
        <w:jc w:val="both"/>
      </w:pPr>
    </w:p>
    <w:p w:rsidR="00C823F0" w:rsidRDefault="00C823F0">
      <w:pPr>
        <w:spacing w:line="276" w:lineRule="auto"/>
        <w:jc w:val="both"/>
      </w:pPr>
    </w:p>
    <w:p w:rsidR="00C823F0" w:rsidRDefault="00867828">
      <w:pPr>
        <w:numPr>
          <w:ilvl w:val="0"/>
          <w:numId w:val="1"/>
        </w:numPr>
        <w:pBdr>
          <w:top w:val="nil"/>
          <w:left w:val="nil"/>
          <w:bottom w:val="nil"/>
          <w:right w:val="nil"/>
          <w:between w:val="nil"/>
        </w:pBdr>
        <w:spacing w:line="360" w:lineRule="auto"/>
        <w:jc w:val="both"/>
        <w:rPr>
          <w:b/>
        </w:rPr>
      </w:pPr>
      <w:r>
        <w:rPr>
          <w:b/>
        </w:rPr>
        <w:t>EXPOSICIÓN DE MOTIVOS</w:t>
      </w:r>
    </w:p>
    <w:p w:rsidR="00C823F0" w:rsidRDefault="00C823F0">
      <w:pPr>
        <w:spacing w:line="360" w:lineRule="auto"/>
        <w:jc w:val="both"/>
      </w:pPr>
    </w:p>
    <w:p w:rsidR="00C823F0" w:rsidRDefault="00867828">
      <w:pPr>
        <w:spacing w:line="360" w:lineRule="auto"/>
        <w:jc w:val="both"/>
      </w:pPr>
      <w:r>
        <w:t xml:space="preserve">La plaza de toros de La Santamaría fue fundada por el ganadero Ignacio Sanz de Santamaría, quien donó el terreno en donde fue construida la plaza de toros, de allí su nombre. La construcción inició en 1928 por los </w:t>
      </w:r>
      <w:r>
        <w:rPr>
          <w:color w:val="202122"/>
        </w:rPr>
        <w:t xml:space="preserve">ingenieros Adonaí Martínez y Eduardo Lazcano, contando con una capacidad para 14.500 visitantes.  </w:t>
      </w:r>
      <w:r>
        <w:t>Fue inaugurada el 8 de febrero de 1931, siendo un recinto emblemático de Bogotá que se destaca por su arquitectura mudéjar, con elaborado trabajo en ladrillo, una obra del arquitecto español Santiago de la Mora en 1940.</w:t>
      </w:r>
    </w:p>
    <w:p w:rsidR="00C823F0" w:rsidRDefault="00C823F0">
      <w:pPr>
        <w:spacing w:line="360" w:lineRule="auto"/>
        <w:jc w:val="both"/>
      </w:pPr>
    </w:p>
    <w:p w:rsidR="00C823F0" w:rsidRDefault="00867828">
      <w:pPr>
        <w:spacing w:line="360" w:lineRule="auto"/>
        <w:jc w:val="both"/>
      </w:pPr>
      <w:r>
        <w:t xml:space="preserve">Posteriormente, la Plaza de toros La Santamaría fue declarada Monumento Nacional de Colombia mediante el Decreto </w:t>
      </w:r>
      <w:r>
        <w:rPr>
          <w:highlight w:val="white"/>
        </w:rPr>
        <w:t>2390 de 1984,</w:t>
      </w:r>
      <w:r>
        <w:t xml:space="preserve"> reconociendo su importancia histórica, cultural y arquitectónica como un ícono de la ciudad de Bogotá.</w:t>
      </w:r>
    </w:p>
    <w:p w:rsidR="00C823F0" w:rsidRDefault="00C823F0">
      <w:pPr>
        <w:spacing w:line="360" w:lineRule="auto"/>
        <w:jc w:val="both"/>
      </w:pPr>
    </w:p>
    <w:p w:rsidR="00C823F0" w:rsidRDefault="00867828">
      <w:pPr>
        <w:spacing w:line="360" w:lineRule="auto"/>
        <w:jc w:val="both"/>
        <w:rPr>
          <w:highlight w:val="white"/>
        </w:rPr>
      </w:pPr>
      <w:r>
        <w:t xml:space="preserve">A nivel distrital, mediante el </w:t>
      </w:r>
      <w:r>
        <w:rPr>
          <w:highlight w:val="white"/>
        </w:rPr>
        <w:t xml:space="preserve">Decreto 606 de 2001 la Plaza de toros La Santamaría fue declarada Bien de Interés Cultural, donde es necesaria la comprensión de las dinámicas sociales, residenciales y productivas patrimoniales en contextos vecinales y cotidianos. Esta plaza, que es </w:t>
      </w:r>
      <w:r>
        <w:t>considerada como la primera de cemento armado en la ciudad,</w:t>
      </w:r>
      <w:r>
        <w:rPr>
          <w:highlight w:val="white"/>
        </w:rPr>
        <w:t xml:space="preserve"> tiene importantes valores económicos, históricos y simbólicos, así como un importante potencial para el fortalecimiento y la cualificación del tejido social y productivo.</w:t>
      </w:r>
    </w:p>
    <w:p w:rsidR="00C823F0" w:rsidRDefault="00C823F0">
      <w:pPr>
        <w:spacing w:line="360" w:lineRule="auto"/>
        <w:jc w:val="both"/>
        <w:rPr>
          <w:highlight w:val="white"/>
        </w:rPr>
      </w:pPr>
    </w:p>
    <w:p w:rsidR="00C823F0" w:rsidRDefault="00C823F0">
      <w:pPr>
        <w:spacing w:line="360" w:lineRule="auto"/>
        <w:jc w:val="both"/>
        <w:rPr>
          <w:highlight w:val="white"/>
        </w:rPr>
      </w:pPr>
    </w:p>
    <w:p w:rsidR="00C823F0" w:rsidRDefault="00C823F0">
      <w:pPr>
        <w:spacing w:line="360" w:lineRule="auto"/>
        <w:jc w:val="both"/>
        <w:rPr>
          <w:b/>
        </w:rPr>
      </w:pPr>
    </w:p>
    <w:p w:rsidR="00C823F0" w:rsidRDefault="00867828">
      <w:pPr>
        <w:spacing w:line="360" w:lineRule="auto"/>
        <w:jc w:val="both"/>
        <w:rPr>
          <w:b/>
        </w:rPr>
      </w:pPr>
      <w:r>
        <w:rPr>
          <w:b/>
        </w:rPr>
        <w:t>ANTECEDENTES PLAZA DE TOROS LA SANTAMARÍA</w:t>
      </w:r>
    </w:p>
    <w:p w:rsidR="00C823F0" w:rsidRDefault="00C823F0">
      <w:pPr>
        <w:spacing w:line="360" w:lineRule="auto"/>
        <w:jc w:val="both"/>
      </w:pPr>
    </w:p>
    <w:p w:rsidR="00C823F0" w:rsidRDefault="00867828">
      <w:pPr>
        <w:spacing w:line="360" w:lineRule="auto"/>
        <w:jc w:val="both"/>
        <w:rPr>
          <w:b/>
        </w:rPr>
      </w:pPr>
      <w:r>
        <w:t>Desde los años 30, cuando se construyó La Santamaría, se ha usado principalmente como escenario para corridas de toros y la “fiesta brava” en Bogotá; sin embargo, con el tiempo se ha usado como escenario para el desarrollo de diferentes actividades como lucha libre, boxeo, festival de teatro, festival de verano, entre otras.</w:t>
      </w:r>
    </w:p>
    <w:p w:rsidR="00C823F0" w:rsidRDefault="00867828">
      <w:pPr>
        <w:spacing w:line="360" w:lineRule="auto"/>
        <w:jc w:val="center"/>
        <w:rPr>
          <w:i/>
        </w:rPr>
      </w:pPr>
      <w:r>
        <w:rPr>
          <w:noProof/>
          <w:color w:val="222222"/>
          <w:sz w:val="26"/>
          <w:szCs w:val="26"/>
          <w:highlight w:val="white"/>
          <w:lang w:val="es-CO"/>
        </w:rPr>
        <w:drawing>
          <wp:inline distT="0" distB="0" distL="0" distR="0">
            <wp:extent cx="5219700" cy="1821815"/>
            <wp:effectExtent l="0" t="0" r="0" b="0"/>
            <wp:docPr id="2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8"/>
                    <a:srcRect/>
                    <a:stretch>
                      <a:fillRect/>
                    </a:stretch>
                  </pic:blipFill>
                  <pic:spPr>
                    <a:xfrm>
                      <a:off x="0" y="0"/>
                      <a:ext cx="5219700" cy="1821815"/>
                    </a:xfrm>
                    <a:prstGeom prst="rect">
                      <a:avLst/>
                    </a:prstGeom>
                    <a:ln/>
                  </pic:spPr>
                </pic:pic>
              </a:graphicData>
            </a:graphic>
          </wp:inline>
        </w:drawing>
      </w:r>
    </w:p>
    <w:p w:rsidR="00C823F0" w:rsidRDefault="002841CC">
      <w:pPr>
        <w:spacing w:line="360" w:lineRule="auto"/>
        <w:jc w:val="center"/>
        <w:rPr>
          <w:highlight w:val="yellow"/>
        </w:rPr>
      </w:pPr>
      <w:hyperlink r:id="rId9">
        <w:r w:rsidR="00867828">
          <w:rPr>
            <w:color w:val="0000FF"/>
            <w:sz w:val="20"/>
            <w:szCs w:val="20"/>
            <w:highlight w:val="white"/>
            <w:u w:val="single"/>
          </w:rPr>
          <w:t>https://idpc.gov.co/publicaciones/descargas/patrisostenible.pdf</w:t>
        </w:r>
      </w:hyperlink>
    </w:p>
    <w:p w:rsidR="00C823F0" w:rsidRDefault="00867828">
      <w:pPr>
        <w:spacing w:line="360" w:lineRule="auto"/>
        <w:jc w:val="both"/>
      </w:pPr>
      <w:r>
        <w:t xml:space="preserve">. </w:t>
      </w:r>
    </w:p>
    <w:p w:rsidR="00C823F0" w:rsidRDefault="00867828">
      <w:pPr>
        <w:spacing w:line="360" w:lineRule="auto"/>
        <w:jc w:val="both"/>
        <w:rPr>
          <w:b/>
          <w:i/>
        </w:rPr>
      </w:pPr>
      <w:r>
        <w:rPr>
          <w:b/>
          <w:i/>
        </w:rPr>
        <w:t>REFORZAMIENTO ESTRUCTURAL Y ADECUACIÓN FUNCIONAL DE LA PLAZA DE TOROS LA SANTAMARÍA A CARGO DEL IDPC 2013 - 2017</w:t>
      </w:r>
    </w:p>
    <w:p w:rsidR="00C823F0" w:rsidRDefault="00867828">
      <w:pPr>
        <w:spacing w:line="360" w:lineRule="auto"/>
        <w:jc w:val="center"/>
        <w:rPr>
          <w:color w:val="222222"/>
          <w:sz w:val="26"/>
          <w:szCs w:val="26"/>
          <w:highlight w:val="white"/>
        </w:rPr>
      </w:pPr>
      <w:r>
        <w:rPr>
          <w:noProof/>
          <w:color w:val="222222"/>
          <w:sz w:val="26"/>
          <w:szCs w:val="26"/>
          <w:highlight w:val="white"/>
          <w:lang w:val="es-CO"/>
        </w:rPr>
        <w:lastRenderedPageBreak/>
        <w:drawing>
          <wp:inline distT="0" distB="0" distL="0" distR="0">
            <wp:extent cx="2759581" cy="1819886"/>
            <wp:effectExtent l="0" t="0" r="0" b="0"/>
            <wp:docPr id="2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0"/>
                    <a:srcRect/>
                    <a:stretch>
                      <a:fillRect/>
                    </a:stretch>
                  </pic:blipFill>
                  <pic:spPr>
                    <a:xfrm>
                      <a:off x="0" y="0"/>
                      <a:ext cx="2759581" cy="1819886"/>
                    </a:xfrm>
                    <a:prstGeom prst="rect">
                      <a:avLst/>
                    </a:prstGeom>
                    <a:ln/>
                  </pic:spPr>
                </pic:pic>
              </a:graphicData>
            </a:graphic>
          </wp:inline>
        </w:drawing>
      </w:r>
      <w:r>
        <w:rPr>
          <w:noProof/>
          <w:color w:val="222222"/>
          <w:sz w:val="26"/>
          <w:szCs w:val="26"/>
          <w:highlight w:val="white"/>
          <w:lang w:val="es-CO"/>
        </w:rPr>
        <w:drawing>
          <wp:inline distT="0" distB="0" distL="0" distR="0">
            <wp:extent cx="2737731" cy="1827219"/>
            <wp:effectExtent l="0" t="0" r="0" b="0"/>
            <wp:docPr id="2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a:stretch>
                      <a:fillRect/>
                    </a:stretch>
                  </pic:blipFill>
                  <pic:spPr>
                    <a:xfrm>
                      <a:off x="0" y="0"/>
                      <a:ext cx="2737731" cy="1827219"/>
                    </a:xfrm>
                    <a:prstGeom prst="rect">
                      <a:avLst/>
                    </a:prstGeom>
                    <a:ln/>
                  </pic:spPr>
                </pic:pic>
              </a:graphicData>
            </a:graphic>
          </wp:inline>
        </w:drawing>
      </w:r>
    </w:p>
    <w:p w:rsidR="00C823F0" w:rsidRDefault="002841CC">
      <w:pPr>
        <w:spacing w:line="360" w:lineRule="auto"/>
        <w:jc w:val="both"/>
        <w:rPr>
          <w:color w:val="222222"/>
          <w:sz w:val="20"/>
          <w:szCs w:val="20"/>
          <w:highlight w:val="white"/>
        </w:rPr>
      </w:pPr>
      <w:hyperlink r:id="rId12">
        <w:r w:rsidR="00867828">
          <w:rPr>
            <w:color w:val="0000FF"/>
            <w:sz w:val="20"/>
            <w:szCs w:val="20"/>
            <w:highlight w:val="white"/>
            <w:u w:val="single"/>
          </w:rPr>
          <w:t>https://idpc.gov.co/intervencion-del-patrimonio/obras-de-intervencion-en-patrimonio/reforzamiento-plaza-de-toros-la-santamaria/</w:t>
        </w:r>
      </w:hyperlink>
    </w:p>
    <w:p w:rsidR="00C823F0" w:rsidRDefault="00867828">
      <w:pPr>
        <w:spacing w:line="360" w:lineRule="auto"/>
        <w:jc w:val="both"/>
        <w:rPr>
          <w:color w:val="222222"/>
          <w:highlight w:val="white"/>
        </w:rPr>
      </w:pPr>
      <w:r>
        <w:rPr>
          <w:color w:val="222222"/>
          <w:highlight w:val="white"/>
        </w:rPr>
        <w:t>En enero de 2017, luego de una obra que duró 18 meses y que tuvo una inversión de 8.800 millones de pesos, se entregó a la ciudad las adecuaciones funcionales de la Plaza de Toros La Santamaría para uso como escenario multipropósito con el fin de desarrollar actividades culturales y recreativas.</w:t>
      </w:r>
    </w:p>
    <w:p w:rsidR="00C823F0" w:rsidRDefault="00C823F0">
      <w:pPr>
        <w:spacing w:line="360" w:lineRule="auto"/>
        <w:jc w:val="both"/>
        <w:rPr>
          <w:color w:val="222222"/>
          <w:highlight w:val="white"/>
        </w:rPr>
      </w:pPr>
    </w:p>
    <w:p w:rsidR="00C823F0" w:rsidRDefault="00867828">
      <w:pPr>
        <w:spacing w:line="360" w:lineRule="auto"/>
        <w:jc w:val="both"/>
        <w:rPr>
          <w:color w:val="222222"/>
          <w:highlight w:val="white"/>
        </w:rPr>
      </w:pPr>
      <w:r>
        <w:rPr>
          <w:color w:val="222222"/>
          <w:highlight w:val="white"/>
        </w:rPr>
        <w:t>De acuerdo con el Instituto Distrital de Patrimonio Cultural - IDPC, ahora, este es un escenario seguro y pluridisciplinar que permite la apropiación y disfrute no sólo desde el patrimonio sino también desde las artes, la cultura, el deporte entre muchas otras posibilidades de uso.</w:t>
      </w:r>
    </w:p>
    <w:p w:rsidR="00C823F0" w:rsidRDefault="00C823F0">
      <w:pPr>
        <w:spacing w:line="360" w:lineRule="auto"/>
        <w:jc w:val="both"/>
        <w:rPr>
          <w:color w:val="222222"/>
          <w:highlight w:val="white"/>
        </w:rPr>
      </w:pPr>
    </w:p>
    <w:p w:rsidR="00C823F0" w:rsidRDefault="00867828">
      <w:pPr>
        <w:spacing w:line="360" w:lineRule="auto"/>
        <w:jc w:val="both"/>
        <w:rPr>
          <w:b/>
          <w:i/>
          <w:color w:val="222222"/>
          <w:highlight w:val="white"/>
        </w:rPr>
      </w:pPr>
      <w:r>
        <w:rPr>
          <w:b/>
          <w:i/>
          <w:color w:val="222222"/>
          <w:highlight w:val="white"/>
        </w:rPr>
        <w:lastRenderedPageBreak/>
        <w:t>LA COPA DAVIS EN LA SANTAMARÍA 2010 y 2017</w:t>
      </w:r>
      <w:r>
        <w:rPr>
          <w:noProof/>
          <w:lang w:val="es-CO"/>
        </w:rPr>
        <w:drawing>
          <wp:anchor distT="0" distB="0" distL="114300" distR="114300" simplePos="0" relativeHeight="251658240" behindDoc="0" locked="0" layoutInCell="1" hidden="0" allowOverlap="1">
            <wp:simplePos x="0" y="0"/>
            <wp:positionH relativeFrom="column">
              <wp:posOffset>2748915</wp:posOffset>
            </wp:positionH>
            <wp:positionV relativeFrom="paragraph">
              <wp:posOffset>241300</wp:posOffset>
            </wp:positionV>
            <wp:extent cx="2913380" cy="1856740"/>
            <wp:effectExtent l="0" t="0" r="0" b="0"/>
            <wp:wrapSquare wrapText="bothSides" distT="0" distB="0" distL="114300" distR="114300"/>
            <wp:docPr id="19"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3"/>
                    <a:srcRect l="7642" r="4442"/>
                    <a:stretch>
                      <a:fillRect/>
                    </a:stretch>
                  </pic:blipFill>
                  <pic:spPr>
                    <a:xfrm>
                      <a:off x="0" y="0"/>
                      <a:ext cx="2913380" cy="1856740"/>
                    </a:xfrm>
                    <a:prstGeom prst="rect">
                      <a:avLst/>
                    </a:prstGeom>
                    <a:ln/>
                  </pic:spPr>
                </pic:pic>
              </a:graphicData>
            </a:graphic>
          </wp:anchor>
        </w:drawing>
      </w:r>
      <w:r>
        <w:rPr>
          <w:noProof/>
          <w:lang w:val="es-CO"/>
        </w:rPr>
        <w:drawing>
          <wp:anchor distT="0" distB="0" distL="114300" distR="114300" simplePos="0" relativeHeight="251659264" behindDoc="0" locked="0" layoutInCell="1" hidden="0" allowOverlap="1">
            <wp:simplePos x="0" y="0"/>
            <wp:positionH relativeFrom="column">
              <wp:posOffset>1</wp:posOffset>
            </wp:positionH>
            <wp:positionV relativeFrom="paragraph">
              <wp:posOffset>250825</wp:posOffset>
            </wp:positionV>
            <wp:extent cx="3300095" cy="1851025"/>
            <wp:effectExtent l="0" t="0" r="0" b="0"/>
            <wp:wrapSquare wrapText="bothSides" distT="0" distB="0" distL="114300" distR="114300"/>
            <wp:docPr id="29"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4"/>
                    <a:srcRect/>
                    <a:stretch>
                      <a:fillRect/>
                    </a:stretch>
                  </pic:blipFill>
                  <pic:spPr>
                    <a:xfrm>
                      <a:off x="0" y="0"/>
                      <a:ext cx="3300095" cy="1851025"/>
                    </a:xfrm>
                    <a:prstGeom prst="rect">
                      <a:avLst/>
                    </a:prstGeom>
                    <a:ln/>
                  </pic:spPr>
                </pic:pic>
              </a:graphicData>
            </a:graphic>
          </wp:anchor>
        </w:drawing>
      </w:r>
    </w:p>
    <w:p w:rsidR="00C823F0" w:rsidRDefault="002841CC">
      <w:pPr>
        <w:spacing w:line="360" w:lineRule="auto"/>
        <w:jc w:val="both"/>
        <w:rPr>
          <w:color w:val="222222"/>
          <w:sz w:val="20"/>
          <w:szCs w:val="20"/>
          <w:highlight w:val="white"/>
        </w:rPr>
      </w:pPr>
      <w:hyperlink r:id="rId15">
        <w:r w:rsidR="00867828">
          <w:rPr>
            <w:color w:val="0000FF"/>
            <w:sz w:val="20"/>
            <w:szCs w:val="20"/>
            <w:highlight w:val="white"/>
            <w:u w:val="single"/>
          </w:rPr>
          <w:t>https://bogota.gov.co/mi-ciudad/cultura-deporte-y-recreacion/copa-davis-en-colombia-tendra-su-casa-en-la-santamaria</w:t>
        </w:r>
      </w:hyperlink>
    </w:p>
    <w:p w:rsidR="00C823F0" w:rsidRDefault="00867828">
      <w:pPr>
        <w:spacing w:line="360" w:lineRule="auto"/>
        <w:jc w:val="both"/>
        <w:rPr>
          <w:color w:val="222222"/>
          <w:highlight w:val="white"/>
        </w:rPr>
      </w:pPr>
      <w:r>
        <w:rPr>
          <w:color w:val="222222"/>
          <w:highlight w:val="white"/>
        </w:rPr>
        <w:t xml:space="preserve">En el 2010 y 2017 la Plaza La Santamaría sirvió de escenario para una de las competencias de tenis más importante del mundo a nivel de países “La Copa Davis”. Para esto, la Alcaldía junto con el IDRD realizaron construcción de un campo de tennis, en polvo de ladrillo, con más de 800 metros cuadrados, que cumplió con todas las especificaciones a nivel mundial exigidas por la ITF (Federación Internacional de Tenis, por sus siglas en inglés). A este torneo, asistieron cerca de 8.000 espectadores, siendo un evento familiar con la intención de que muchos niños pudieran acercarse a este deporte. </w:t>
      </w:r>
    </w:p>
    <w:p w:rsidR="00C823F0" w:rsidRDefault="00C823F0">
      <w:pPr>
        <w:spacing w:line="360" w:lineRule="auto"/>
        <w:jc w:val="both"/>
        <w:rPr>
          <w:b/>
          <w:i/>
          <w:color w:val="222222"/>
          <w:highlight w:val="white"/>
        </w:rPr>
      </w:pPr>
    </w:p>
    <w:p w:rsidR="00C823F0" w:rsidRDefault="00867828">
      <w:pPr>
        <w:spacing w:line="360" w:lineRule="auto"/>
        <w:ind w:left="709" w:hanging="709"/>
        <w:jc w:val="both"/>
        <w:rPr>
          <w:b/>
          <w:i/>
          <w:color w:val="222222"/>
          <w:highlight w:val="white"/>
        </w:rPr>
      </w:pPr>
      <w:r>
        <w:rPr>
          <w:b/>
          <w:i/>
          <w:color w:val="222222"/>
          <w:highlight w:val="white"/>
        </w:rPr>
        <w:t>FESTIVAL DE VERANO DE BOGOTÁ 2022: VOLEYBOL PLAYA</w:t>
      </w:r>
    </w:p>
    <w:p w:rsidR="00C823F0" w:rsidRDefault="00867828">
      <w:pPr>
        <w:spacing w:line="360" w:lineRule="auto"/>
        <w:ind w:left="709" w:hanging="709"/>
        <w:jc w:val="center"/>
        <w:rPr>
          <w:b/>
          <w:i/>
          <w:color w:val="222222"/>
          <w:highlight w:val="white"/>
        </w:rPr>
      </w:pPr>
      <w:r>
        <w:rPr>
          <w:noProof/>
          <w:lang w:val="es-CO"/>
        </w:rPr>
        <w:lastRenderedPageBreak/>
        <w:drawing>
          <wp:inline distT="0" distB="0" distL="0" distR="0">
            <wp:extent cx="3032800" cy="1705951"/>
            <wp:effectExtent l="0" t="0" r="0" b="0"/>
            <wp:docPr id="25" name="image9.jpg" descr="https://newses.cgtn.com/n/BfJIA-CAA-BIA/BcbeCcA.jpg"/>
            <wp:cNvGraphicFramePr/>
            <a:graphic xmlns:a="http://schemas.openxmlformats.org/drawingml/2006/main">
              <a:graphicData uri="http://schemas.openxmlformats.org/drawingml/2006/picture">
                <pic:pic xmlns:pic="http://schemas.openxmlformats.org/drawingml/2006/picture">
                  <pic:nvPicPr>
                    <pic:cNvPr id="0" name="image9.jpg" descr="https://newses.cgtn.com/n/BfJIA-CAA-BIA/BcbeCcA.jpg"/>
                    <pic:cNvPicPr preferRelativeResize="0"/>
                  </pic:nvPicPr>
                  <pic:blipFill>
                    <a:blip r:embed="rId16"/>
                    <a:srcRect/>
                    <a:stretch>
                      <a:fillRect/>
                    </a:stretch>
                  </pic:blipFill>
                  <pic:spPr>
                    <a:xfrm>
                      <a:off x="0" y="0"/>
                      <a:ext cx="3032800" cy="1705951"/>
                    </a:xfrm>
                    <a:prstGeom prst="rect">
                      <a:avLst/>
                    </a:prstGeom>
                    <a:ln/>
                  </pic:spPr>
                </pic:pic>
              </a:graphicData>
            </a:graphic>
          </wp:inline>
        </w:drawing>
      </w:r>
    </w:p>
    <w:p w:rsidR="00C823F0" w:rsidRDefault="002841CC">
      <w:pPr>
        <w:spacing w:line="360" w:lineRule="auto"/>
        <w:ind w:left="709" w:hanging="709"/>
        <w:jc w:val="center"/>
        <w:rPr>
          <w:color w:val="222222"/>
          <w:sz w:val="20"/>
          <w:szCs w:val="20"/>
          <w:highlight w:val="white"/>
        </w:rPr>
      </w:pPr>
      <w:hyperlink r:id="rId17">
        <w:r w:rsidR="00867828">
          <w:rPr>
            <w:color w:val="0000FF"/>
            <w:sz w:val="20"/>
            <w:szCs w:val="20"/>
            <w:highlight w:val="white"/>
            <w:u w:val="single"/>
          </w:rPr>
          <w:t>https://www.canalcapital.gov.co/deportes/plaza-la-santamaria-sede-los-deportes-playa-el-festival-verano</w:t>
        </w:r>
      </w:hyperlink>
    </w:p>
    <w:p w:rsidR="00C823F0" w:rsidRDefault="00867828">
      <w:pPr>
        <w:spacing w:line="360" w:lineRule="auto"/>
        <w:rPr>
          <w:highlight w:val="white"/>
        </w:rPr>
      </w:pPr>
      <w:r>
        <w:rPr>
          <w:highlight w:val="white"/>
        </w:rPr>
        <w:t>Con el lema "La Santamaría es vida", se realizaron deportes de playa en la Plaza la Santamaría. Siendo escenario de encuentro para deportistas nacionales e internacionales.</w:t>
      </w:r>
    </w:p>
    <w:p w:rsidR="00C823F0" w:rsidRDefault="00C823F0">
      <w:pPr>
        <w:spacing w:line="360" w:lineRule="auto"/>
        <w:jc w:val="both"/>
        <w:rPr>
          <w:color w:val="222222"/>
          <w:highlight w:val="white"/>
        </w:rPr>
      </w:pPr>
    </w:p>
    <w:p w:rsidR="00C823F0" w:rsidRDefault="00867828">
      <w:pPr>
        <w:spacing w:line="360" w:lineRule="auto"/>
        <w:jc w:val="both"/>
        <w:rPr>
          <w:b/>
          <w:i/>
          <w:color w:val="222222"/>
          <w:highlight w:val="white"/>
        </w:rPr>
      </w:pPr>
      <w:r>
        <w:rPr>
          <w:b/>
          <w:i/>
          <w:color w:val="222222"/>
          <w:highlight w:val="white"/>
        </w:rPr>
        <w:t>FESTIVAL DE VERANO DE BOGOTÁ 2024: TORNEO NACIONAL E INTERNACIONAL DE BALONMANO PLAYA</w:t>
      </w:r>
    </w:p>
    <w:p w:rsidR="00C823F0" w:rsidRDefault="00867828">
      <w:pPr>
        <w:spacing w:line="360" w:lineRule="auto"/>
        <w:jc w:val="center"/>
        <w:rPr>
          <w:b/>
          <w:i/>
          <w:color w:val="222222"/>
          <w:sz w:val="26"/>
          <w:szCs w:val="26"/>
          <w:highlight w:val="white"/>
        </w:rPr>
      </w:pPr>
      <w:r>
        <w:rPr>
          <w:noProof/>
          <w:color w:val="222222"/>
          <w:sz w:val="26"/>
          <w:szCs w:val="26"/>
          <w:highlight w:val="white"/>
          <w:lang w:val="es-CO"/>
        </w:rPr>
        <w:drawing>
          <wp:inline distT="0" distB="0" distL="0" distR="0">
            <wp:extent cx="2856003" cy="1507154"/>
            <wp:effectExtent l="0" t="0" r="0" b="0"/>
            <wp:docPr id="24"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8"/>
                    <a:srcRect/>
                    <a:stretch>
                      <a:fillRect/>
                    </a:stretch>
                  </pic:blipFill>
                  <pic:spPr>
                    <a:xfrm>
                      <a:off x="0" y="0"/>
                      <a:ext cx="2856003" cy="1507154"/>
                    </a:xfrm>
                    <a:prstGeom prst="rect">
                      <a:avLst/>
                    </a:prstGeom>
                    <a:ln/>
                  </pic:spPr>
                </pic:pic>
              </a:graphicData>
            </a:graphic>
          </wp:inline>
        </w:drawing>
      </w:r>
    </w:p>
    <w:p w:rsidR="00C823F0" w:rsidRDefault="002841CC">
      <w:pPr>
        <w:spacing w:line="360" w:lineRule="auto"/>
        <w:jc w:val="center"/>
        <w:rPr>
          <w:color w:val="222222"/>
          <w:sz w:val="20"/>
          <w:szCs w:val="20"/>
          <w:highlight w:val="white"/>
        </w:rPr>
      </w:pPr>
      <w:hyperlink r:id="rId19">
        <w:r w:rsidR="00867828">
          <w:rPr>
            <w:color w:val="0000FF"/>
            <w:sz w:val="20"/>
            <w:szCs w:val="20"/>
            <w:highlight w:val="white"/>
            <w:u w:val="single"/>
          </w:rPr>
          <w:t>https://bogota.gov.co/mi-ciudad/cultura-recreacion-y-deporte/festival-de-verano-de-bogota-balonmano-playa-en-plaza-la-santamaria</w:t>
        </w:r>
      </w:hyperlink>
    </w:p>
    <w:p w:rsidR="00C823F0" w:rsidRDefault="00867828">
      <w:pPr>
        <w:spacing w:line="360" w:lineRule="auto"/>
        <w:jc w:val="both"/>
        <w:rPr>
          <w:color w:val="222222"/>
          <w:highlight w:val="white"/>
        </w:rPr>
      </w:pPr>
      <w:r>
        <w:rPr>
          <w:color w:val="222222"/>
          <w:highlight w:val="white"/>
        </w:rPr>
        <w:t xml:space="preserve">En agosto de 2024 la Alcaldía de Bogotá y el Instituto Distrital de Recreación y Deporte (IDRD), llevaron a cabo el Torneo Nacional e Internacional de balonmano playa en la Plaza La Santamaría, teniendo una entrada libre con cupos limitados, </w:t>
      </w:r>
      <w:r>
        <w:rPr>
          <w:color w:val="222222"/>
          <w:highlight w:val="white"/>
        </w:rPr>
        <w:lastRenderedPageBreak/>
        <w:t>promoviendo una verdadera fiesta del deporte, la recreación y la actividad física en el marco del Festival de Verano 2024.</w:t>
      </w:r>
    </w:p>
    <w:p w:rsidR="00C823F0" w:rsidRDefault="00C823F0">
      <w:pPr>
        <w:spacing w:line="360" w:lineRule="auto"/>
        <w:jc w:val="both"/>
        <w:rPr>
          <w:b/>
          <w:i/>
          <w:color w:val="222222"/>
          <w:highlight w:val="white"/>
        </w:rPr>
      </w:pPr>
    </w:p>
    <w:p w:rsidR="00C823F0" w:rsidRDefault="00867828">
      <w:pPr>
        <w:spacing w:line="360" w:lineRule="auto"/>
        <w:jc w:val="both"/>
        <w:rPr>
          <w:b/>
          <w:i/>
          <w:color w:val="222222"/>
          <w:sz w:val="26"/>
          <w:szCs w:val="26"/>
          <w:highlight w:val="white"/>
        </w:rPr>
      </w:pPr>
      <w:r>
        <w:rPr>
          <w:b/>
          <w:i/>
          <w:color w:val="222222"/>
          <w:highlight w:val="white"/>
        </w:rPr>
        <w:t>FESTIVAL PETRONIO ÁLVAREZ 2024 EN LA PLAZA LA SANTAMARÍA EN BOG</w:t>
      </w:r>
      <w:r>
        <w:rPr>
          <w:b/>
          <w:i/>
          <w:color w:val="222222"/>
          <w:sz w:val="26"/>
          <w:szCs w:val="26"/>
          <w:highlight w:val="white"/>
        </w:rPr>
        <w:t>OTÁ</w:t>
      </w:r>
    </w:p>
    <w:p w:rsidR="00C823F0" w:rsidRDefault="00867828">
      <w:pPr>
        <w:spacing w:line="360" w:lineRule="auto"/>
        <w:jc w:val="center"/>
        <w:rPr>
          <w:b/>
          <w:i/>
          <w:color w:val="222222"/>
          <w:sz w:val="26"/>
          <w:szCs w:val="26"/>
          <w:highlight w:val="white"/>
        </w:rPr>
      </w:pPr>
      <w:r>
        <w:rPr>
          <w:noProof/>
          <w:color w:val="222222"/>
          <w:sz w:val="26"/>
          <w:szCs w:val="26"/>
          <w:highlight w:val="white"/>
          <w:lang w:val="es-CO"/>
        </w:rPr>
        <w:drawing>
          <wp:inline distT="0" distB="0" distL="0" distR="0">
            <wp:extent cx="3243432" cy="2143822"/>
            <wp:effectExtent l="0" t="0" r="0" b="0"/>
            <wp:docPr id="2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0"/>
                    <a:srcRect/>
                    <a:stretch>
                      <a:fillRect/>
                    </a:stretch>
                  </pic:blipFill>
                  <pic:spPr>
                    <a:xfrm>
                      <a:off x="0" y="0"/>
                      <a:ext cx="3243432" cy="2143822"/>
                    </a:xfrm>
                    <a:prstGeom prst="rect">
                      <a:avLst/>
                    </a:prstGeom>
                    <a:ln/>
                  </pic:spPr>
                </pic:pic>
              </a:graphicData>
            </a:graphic>
          </wp:inline>
        </w:drawing>
      </w:r>
    </w:p>
    <w:p w:rsidR="00C823F0" w:rsidRDefault="002841CC">
      <w:pPr>
        <w:spacing w:line="360" w:lineRule="auto"/>
        <w:jc w:val="center"/>
        <w:rPr>
          <w:color w:val="222222"/>
          <w:sz w:val="20"/>
          <w:szCs w:val="20"/>
          <w:highlight w:val="white"/>
        </w:rPr>
      </w:pPr>
      <w:hyperlink r:id="rId21">
        <w:r w:rsidR="00867828">
          <w:rPr>
            <w:color w:val="0000FF"/>
            <w:sz w:val="20"/>
            <w:szCs w:val="20"/>
            <w:highlight w:val="white"/>
            <w:u w:val="single"/>
          </w:rPr>
          <w:t>https://culturarecreacionydeporte.gov.co/es/principal/noticias/petronio-alvarez-en-plaza-la-santamaria</w:t>
        </w:r>
      </w:hyperlink>
    </w:p>
    <w:p w:rsidR="00C823F0" w:rsidRDefault="00C823F0">
      <w:pPr>
        <w:spacing w:line="360" w:lineRule="auto"/>
        <w:jc w:val="both"/>
      </w:pPr>
    </w:p>
    <w:p w:rsidR="00C823F0" w:rsidRDefault="00867828">
      <w:pPr>
        <w:spacing w:line="360" w:lineRule="auto"/>
        <w:jc w:val="both"/>
        <w:rPr>
          <w:color w:val="222222"/>
          <w:highlight w:val="white"/>
        </w:rPr>
      </w:pPr>
      <w:r>
        <w:t xml:space="preserve">En la Plaza La Santamaría se llevó a cabo el </w:t>
      </w:r>
      <w:r>
        <w:rPr>
          <w:color w:val="222222"/>
          <w:highlight w:val="white"/>
        </w:rPr>
        <w:t>XXVIII Festival de Música del Pacífico Petronio Álvarez, un evento emblemático que trae a la capital las sonoridades y tradición del Pacífico colombiano. El festival, con entrada libre también presentó una feria de emprendimientos con más de 20 stands para exhibir artesanías y productos gastronómicos, representando a las regiones del Chocó, Nariño y Valle del Cauca.</w:t>
      </w:r>
    </w:p>
    <w:p w:rsidR="00C823F0" w:rsidRDefault="00C823F0">
      <w:pPr>
        <w:spacing w:line="360" w:lineRule="auto"/>
        <w:jc w:val="both"/>
        <w:rPr>
          <w:b/>
          <w:color w:val="222222"/>
          <w:highlight w:val="white"/>
        </w:rPr>
      </w:pPr>
    </w:p>
    <w:p w:rsidR="00C823F0" w:rsidRDefault="00867828">
      <w:pPr>
        <w:spacing w:line="360" w:lineRule="auto"/>
        <w:jc w:val="both"/>
        <w:rPr>
          <w:b/>
          <w:i/>
          <w:color w:val="222222"/>
          <w:highlight w:val="white"/>
        </w:rPr>
      </w:pPr>
      <w:r>
        <w:rPr>
          <w:b/>
          <w:i/>
          <w:color w:val="222222"/>
          <w:highlight w:val="white"/>
        </w:rPr>
        <w:t xml:space="preserve">RECORRIDOS GUIADOS EN LA PLAZA SANTAMARÍA </w:t>
      </w:r>
    </w:p>
    <w:p w:rsidR="00C823F0" w:rsidRDefault="00C823F0">
      <w:pPr>
        <w:spacing w:line="360" w:lineRule="auto"/>
        <w:jc w:val="both"/>
      </w:pPr>
    </w:p>
    <w:p w:rsidR="00C823F0" w:rsidRDefault="00867828">
      <w:pPr>
        <w:spacing w:line="360" w:lineRule="auto"/>
        <w:jc w:val="both"/>
      </w:pPr>
      <w:r>
        <w:lastRenderedPageBreak/>
        <w:t xml:space="preserve">Actualmente, el IDRD - Instituto Distrital de Recreación y Deporte ofrece el programa de caminatas en la Plaza Santamaría, con el objetivo de promover la actividad física, fortalecer el sentido de pertenencia y fomentar el cuidado del entorno en Bogotá. Estas caminatas son recorridos guiados, totalmente gratuitos y con inscripción previa.  </w:t>
      </w:r>
    </w:p>
    <w:p w:rsidR="00C823F0" w:rsidRDefault="00867828">
      <w:pPr>
        <w:spacing w:line="360" w:lineRule="auto"/>
        <w:rPr>
          <w:b/>
          <w:color w:val="222222"/>
          <w:highlight w:val="white"/>
        </w:rPr>
      </w:pPr>
      <w:r>
        <w:rPr>
          <w:b/>
          <w:color w:val="222222"/>
          <w:highlight w:val="white"/>
        </w:rPr>
        <w:t>OTRAS EXPERIENCIAS DE TRANSFORMACIÓN DE PLAZAS DE TOROS EN CENTROS CULTURALES Y COMERCIALES</w:t>
      </w:r>
    </w:p>
    <w:p w:rsidR="00C823F0" w:rsidRDefault="00C823F0">
      <w:pPr>
        <w:spacing w:line="360" w:lineRule="auto"/>
        <w:rPr>
          <w:b/>
          <w:color w:val="222222"/>
          <w:highlight w:val="white"/>
        </w:rPr>
      </w:pPr>
    </w:p>
    <w:p w:rsidR="00C823F0" w:rsidRDefault="00867828">
      <w:pPr>
        <w:spacing w:line="360" w:lineRule="auto"/>
        <w:rPr>
          <w:b/>
          <w:color w:val="222222"/>
          <w:highlight w:val="white"/>
        </w:rPr>
      </w:pPr>
      <w:r>
        <w:rPr>
          <w:b/>
          <w:color w:val="222222"/>
          <w:highlight w:val="white"/>
        </w:rPr>
        <w:t>A NIVEL INTERNACIONAL</w:t>
      </w:r>
    </w:p>
    <w:p w:rsidR="00C823F0" w:rsidRDefault="00C823F0">
      <w:pPr>
        <w:spacing w:line="360" w:lineRule="auto"/>
        <w:rPr>
          <w:b/>
          <w:color w:val="222222"/>
          <w:highlight w:val="white"/>
        </w:rPr>
      </w:pPr>
    </w:p>
    <w:p w:rsidR="00C823F0" w:rsidRDefault="00867828">
      <w:pPr>
        <w:spacing w:line="360" w:lineRule="auto"/>
        <w:rPr>
          <w:b/>
          <w:i/>
          <w:color w:val="222222"/>
          <w:highlight w:val="white"/>
        </w:rPr>
      </w:pPr>
      <w:r>
        <w:rPr>
          <w:b/>
          <w:i/>
          <w:color w:val="222222"/>
          <w:highlight w:val="white"/>
        </w:rPr>
        <w:t>PLAZA DE TOROS DE LAS ARENAS, BARCELONA - ESPAÑA</w:t>
      </w:r>
    </w:p>
    <w:p w:rsidR="00C823F0" w:rsidRDefault="00867828">
      <w:pPr>
        <w:spacing w:line="360" w:lineRule="auto"/>
        <w:jc w:val="both"/>
        <w:rPr>
          <w:color w:val="202122"/>
          <w:highlight w:val="white"/>
        </w:rPr>
      </w:pPr>
      <w:r>
        <w:rPr>
          <w:color w:val="202122"/>
          <w:highlight w:val="white"/>
        </w:rPr>
        <w:t>La antigua plaza de toros de la Barceloneta, construida en 1834, con capacidad para 14.893 personas fue inaugurada en junio de 1900. Con una historia en la tauromaquia su última corrida de toros fue el 19 de junio de 1977. Después de más de treinta años de abandono, se decidió convertirla en un espectacular centro comercial, que conserva la fachada original y ofrece unas vistas privilegiadas del parque de Montjuïc y la ciudad de Barcelona.</w:t>
      </w:r>
      <w:r>
        <w:t xml:space="preserve"> </w:t>
      </w:r>
      <w:r>
        <w:rPr>
          <w:color w:val="202122"/>
          <w:highlight w:val="white"/>
        </w:rPr>
        <w:t>La inauguración se realizó en el 2011 y se destacan los más de 30.000 m2 de superficie, que incluye comercios, restaurantes, un cine de doce salas y un mirador turístico.</w:t>
      </w:r>
    </w:p>
    <w:p w:rsidR="00C823F0" w:rsidRDefault="002841CC">
      <w:pPr>
        <w:spacing w:line="360" w:lineRule="auto"/>
        <w:jc w:val="center"/>
        <w:rPr>
          <w:color w:val="202122"/>
          <w:highlight w:val="white"/>
        </w:rPr>
      </w:pPr>
      <w:hyperlink r:id="rId22">
        <w:r w:rsidR="00867828">
          <w:rPr>
            <w:color w:val="0000FF"/>
            <w:sz w:val="20"/>
            <w:szCs w:val="20"/>
            <w:highlight w:val="white"/>
            <w:u w:val="single"/>
          </w:rPr>
          <w:t>https://www.barcelona.cat/es/conocebcn/pics/las-arenas-99400267330</w:t>
        </w:r>
      </w:hyperlink>
      <w:r w:rsidR="00867828">
        <w:rPr>
          <w:noProof/>
          <w:lang w:val="es-CO"/>
        </w:rPr>
        <w:drawing>
          <wp:anchor distT="0" distB="0" distL="114300" distR="114300" simplePos="0" relativeHeight="251660288" behindDoc="0" locked="0" layoutInCell="1" hidden="0" allowOverlap="1">
            <wp:simplePos x="0" y="0"/>
            <wp:positionH relativeFrom="column">
              <wp:posOffset>5716</wp:posOffset>
            </wp:positionH>
            <wp:positionV relativeFrom="paragraph">
              <wp:posOffset>138430</wp:posOffset>
            </wp:positionV>
            <wp:extent cx="2905125" cy="1689100"/>
            <wp:effectExtent l="0" t="0" r="0" b="0"/>
            <wp:wrapSquare wrapText="bothSides" distT="0" distB="0" distL="114300" distR="114300"/>
            <wp:docPr id="1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3"/>
                    <a:srcRect l="4140"/>
                    <a:stretch>
                      <a:fillRect/>
                    </a:stretch>
                  </pic:blipFill>
                  <pic:spPr>
                    <a:xfrm>
                      <a:off x="0" y="0"/>
                      <a:ext cx="2905125" cy="1689100"/>
                    </a:xfrm>
                    <a:prstGeom prst="rect">
                      <a:avLst/>
                    </a:prstGeom>
                    <a:ln/>
                  </pic:spPr>
                </pic:pic>
              </a:graphicData>
            </a:graphic>
          </wp:anchor>
        </w:drawing>
      </w:r>
      <w:r w:rsidR="00867828">
        <w:rPr>
          <w:noProof/>
          <w:lang w:val="es-CO"/>
        </w:rPr>
        <w:drawing>
          <wp:anchor distT="0" distB="0" distL="114300" distR="114300" simplePos="0" relativeHeight="251661312" behindDoc="0" locked="0" layoutInCell="1" hidden="0" allowOverlap="1">
            <wp:simplePos x="0" y="0"/>
            <wp:positionH relativeFrom="column">
              <wp:posOffset>2777490</wp:posOffset>
            </wp:positionH>
            <wp:positionV relativeFrom="paragraph">
              <wp:posOffset>128905</wp:posOffset>
            </wp:positionV>
            <wp:extent cx="3034038" cy="1704759"/>
            <wp:effectExtent l="0" t="0" r="0" b="0"/>
            <wp:wrapSquare wrapText="bothSides" distT="0" distB="0" distL="114300" distR="114300"/>
            <wp:docPr id="20"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4"/>
                    <a:srcRect/>
                    <a:stretch>
                      <a:fillRect/>
                    </a:stretch>
                  </pic:blipFill>
                  <pic:spPr>
                    <a:xfrm>
                      <a:off x="0" y="0"/>
                      <a:ext cx="3034038" cy="1704759"/>
                    </a:xfrm>
                    <a:prstGeom prst="rect">
                      <a:avLst/>
                    </a:prstGeom>
                    <a:ln/>
                  </pic:spPr>
                </pic:pic>
              </a:graphicData>
            </a:graphic>
          </wp:anchor>
        </w:drawing>
      </w:r>
    </w:p>
    <w:p w:rsidR="00C823F0" w:rsidRDefault="00C823F0">
      <w:pPr>
        <w:spacing w:line="360" w:lineRule="auto"/>
        <w:jc w:val="both"/>
        <w:rPr>
          <w:b/>
          <w:color w:val="202122"/>
          <w:highlight w:val="white"/>
        </w:rPr>
      </w:pPr>
    </w:p>
    <w:p w:rsidR="00C823F0" w:rsidRDefault="00867828">
      <w:pPr>
        <w:spacing w:line="360" w:lineRule="auto"/>
        <w:jc w:val="both"/>
        <w:rPr>
          <w:b/>
          <w:color w:val="202122"/>
          <w:highlight w:val="white"/>
        </w:rPr>
      </w:pPr>
      <w:r>
        <w:rPr>
          <w:b/>
          <w:color w:val="202122"/>
          <w:highlight w:val="white"/>
        </w:rPr>
        <w:t>A NIVEL NACIONAL</w:t>
      </w:r>
    </w:p>
    <w:p w:rsidR="00C823F0" w:rsidRDefault="00867828">
      <w:pPr>
        <w:spacing w:line="360" w:lineRule="auto"/>
        <w:jc w:val="both"/>
        <w:rPr>
          <w:b/>
          <w:i/>
          <w:color w:val="202122"/>
          <w:highlight w:val="white"/>
        </w:rPr>
      </w:pPr>
      <w:r>
        <w:rPr>
          <w:b/>
          <w:i/>
          <w:color w:val="202122"/>
          <w:highlight w:val="white"/>
        </w:rPr>
        <w:t>PLAZA DE TOROS DE LA SERREZUELA, CARTAGENA – COLOMBIA</w:t>
      </w:r>
    </w:p>
    <w:p w:rsidR="00C823F0" w:rsidRDefault="00867828">
      <w:pPr>
        <w:spacing w:line="360" w:lineRule="auto"/>
        <w:jc w:val="center"/>
        <w:rPr>
          <w:color w:val="222222"/>
          <w:highlight w:val="white"/>
        </w:rPr>
      </w:pPr>
      <w:r>
        <w:rPr>
          <w:noProof/>
          <w:color w:val="222222"/>
          <w:highlight w:val="white"/>
          <w:lang w:val="es-CO"/>
        </w:rPr>
        <w:drawing>
          <wp:inline distT="0" distB="0" distL="0" distR="0">
            <wp:extent cx="2414026" cy="2173087"/>
            <wp:effectExtent l="0" t="0" r="0" b="0"/>
            <wp:docPr id="27"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25"/>
                    <a:srcRect/>
                    <a:stretch>
                      <a:fillRect/>
                    </a:stretch>
                  </pic:blipFill>
                  <pic:spPr>
                    <a:xfrm>
                      <a:off x="0" y="0"/>
                      <a:ext cx="2414026" cy="2173087"/>
                    </a:xfrm>
                    <a:prstGeom prst="rect">
                      <a:avLst/>
                    </a:prstGeom>
                    <a:ln/>
                  </pic:spPr>
                </pic:pic>
              </a:graphicData>
            </a:graphic>
          </wp:inline>
        </w:drawing>
      </w:r>
      <w:r>
        <w:rPr>
          <w:noProof/>
          <w:lang w:val="es-CO"/>
        </w:rPr>
        <w:drawing>
          <wp:inline distT="0" distB="0" distL="0" distR="0">
            <wp:extent cx="1467308" cy="2201645"/>
            <wp:effectExtent l="0" t="0" r="0" b="0"/>
            <wp:docPr id="28" name="image12.jpg" descr="La antigua plaza de toros de Cartagena ahora es un centro comercial -  Revista AXXIS"/>
            <wp:cNvGraphicFramePr/>
            <a:graphic xmlns:a="http://schemas.openxmlformats.org/drawingml/2006/main">
              <a:graphicData uri="http://schemas.openxmlformats.org/drawingml/2006/picture">
                <pic:pic xmlns:pic="http://schemas.openxmlformats.org/drawingml/2006/picture">
                  <pic:nvPicPr>
                    <pic:cNvPr id="0" name="image12.jpg" descr="La antigua plaza de toros de Cartagena ahora es un centro comercial -  Revista AXXIS"/>
                    <pic:cNvPicPr preferRelativeResize="0"/>
                  </pic:nvPicPr>
                  <pic:blipFill>
                    <a:blip r:embed="rId26"/>
                    <a:srcRect/>
                    <a:stretch>
                      <a:fillRect/>
                    </a:stretch>
                  </pic:blipFill>
                  <pic:spPr>
                    <a:xfrm>
                      <a:off x="0" y="0"/>
                      <a:ext cx="1467308" cy="2201645"/>
                    </a:xfrm>
                    <a:prstGeom prst="rect">
                      <a:avLst/>
                    </a:prstGeom>
                    <a:ln/>
                  </pic:spPr>
                </pic:pic>
              </a:graphicData>
            </a:graphic>
          </wp:inline>
        </w:drawing>
      </w:r>
    </w:p>
    <w:p w:rsidR="00C823F0" w:rsidRDefault="002841CC">
      <w:pPr>
        <w:spacing w:line="360" w:lineRule="auto"/>
        <w:jc w:val="center"/>
        <w:rPr>
          <w:color w:val="222222"/>
          <w:sz w:val="20"/>
          <w:szCs w:val="20"/>
          <w:highlight w:val="white"/>
        </w:rPr>
      </w:pPr>
      <w:hyperlink r:id="rId27">
        <w:r w:rsidR="00867828">
          <w:rPr>
            <w:color w:val="0000FF"/>
            <w:sz w:val="20"/>
            <w:szCs w:val="20"/>
            <w:highlight w:val="white"/>
            <w:u w:val="single"/>
          </w:rPr>
          <w:t>https://revistaaxxis.com.co/arquitectura/restauracion-la-serrezuela-cartagena/</w:t>
        </w:r>
      </w:hyperlink>
    </w:p>
    <w:p w:rsidR="00C823F0" w:rsidRDefault="00C823F0">
      <w:pPr>
        <w:spacing w:line="360" w:lineRule="auto"/>
        <w:jc w:val="center"/>
        <w:rPr>
          <w:b/>
          <w:color w:val="222222"/>
          <w:sz w:val="20"/>
          <w:szCs w:val="20"/>
          <w:highlight w:val="white"/>
        </w:rPr>
      </w:pPr>
    </w:p>
    <w:p w:rsidR="00C823F0" w:rsidRDefault="00867828">
      <w:pPr>
        <w:spacing w:line="360" w:lineRule="auto"/>
        <w:jc w:val="both"/>
        <w:rPr>
          <w:sz w:val="29"/>
          <w:szCs w:val="29"/>
          <w:highlight w:val="white"/>
        </w:rPr>
      </w:pPr>
      <w:r>
        <w:t xml:space="preserve">La plaza de toros La Serrezuela, en Cartagena de Indias, fue construida en el año de 1893, se convirtió entonces en el Circo-teatro más visitado. Sin embargo, a pesar de haber sido declarado Monumento Nacional en 1995, el Circo-teatro La Serrezuela con el tiempo sufrió un significativo deterioro, cayendo en el olvido. </w:t>
      </w:r>
      <w:r>
        <w:lastRenderedPageBreak/>
        <w:t>Después de más de cien años de la construcción del edificio original, a través de un nuevo proyecto que fue inaugurado en el año 2019 y con el fin de recuperar su historia, se renueva con un nuevo nombre la “Plaza de Todos” y un vibrante complejo de 22.000 metros cuadrados para un aforo de 1900 personas; donde confluyen la historia, el comercio, la cultura, el entretenimiento, la gastronomía, el arte y los espectáculos. Llama la atención que, en el centro del ruedo, como atracción, se cuenta con una fuente de 64 chorros, siendo uno de los principales atractivos turísticos de la ciudad de Cartagena y un ícono nacional.</w:t>
      </w:r>
      <w:r>
        <w:rPr>
          <w:sz w:val="29"/>
          <w:szCs w:val="29"/>
          <w:highlight w:val="white"/>
        </w:rPr>
        <w:t xml:space="preserve"> </w:t>
      </w:r>
    </w:p>
    <w:p w:rsidR="00C823F0" w:rsidRDefault="00C823F0">
      <w:pPr>
        <w:spacing w:line="360" w:lineRule="auto"/>
        <w:jc w:val="both"/>
        <w:rPr>
          <w:color w:val="FF0000"/>
        </w:rPr>
      </w:pPr>
    </w:p>
    <w:p w:rsidR="00C823F0" w:rsidRDefault="00C823F0">
      <w:pPr>
        <w:spacing w:line="360" w:lineRule="auto"/>
        <w:jc w:val="both"/>
        <w:rPr>
          <w:color w:val="FF0000"/>
        </w:rPr>
      </w:pPr>
    </w:p>
    <w:p w:rsidR="00C823F0" w:rsidRDefault="00C823F0">
      <w:pPr>
        <w:spacing w:line="360" w:lineRule="auto"/>
        <w:jc w:val="both"/>
        <w:rPr>
          <w:color w:val="FF0000"/>
        </w:rPr>
      </w:pPr>
    </w:p>
    <w:p w:rsidR="00C823F0" w:rsidRDefault="00867828">
      <w:pPr>
        <w:numPr>
          <w:ilvl w:val="0"/>
          <w:numId w:val="1"/>
        </w:numPr>
        <w:pBdr>
          <w:top w:val="nil"/>
          <w:left w:val="nil"/>
          <w:bottom w:val="nil"/>
          <w:right w:val="nil"/>
          <w:between w:val="nil"/>
        </w:pBdr>
        <w:spacing w:line="360" w:lineRule="auto"/>
        <w:jc w:val="both"/>
        <w:rPr>
          <w:b/>
        </w:rPr>
      </w:pPr>
      <w:r>
        <w:rPr>
          <w:b/>
        </w:rPr>
        <w:t>JUSTIFICACIÓN DEL PROYECTO DE ACUERDO</w:t>
      </w:r>
    </w:p>
    <w:p w:rsidR="00C823F0" w:rsidRDefault="00C823F0">
      <w:pPr>
        <w:spacing w:line="360" w:lineRule="auto"/>
        <w:jc w:val="both"/>
        <w:rPr>
          <w:b/>
          <w:color w:val="FF0000"/>
        </w:rPr>
      </w:pPr>
    </w:p>
    <w:p w:rsidR="00C823F0" w:rsidRDefault="00867828">
      <w:pPr>
        <w:spacing w:line="360" w:lineRule="auto"/>
        <w:jc w:val="both"/>
        <w:rPr>
          <w:color w:val="FF0000"/>
        </w:rPr>
      </w:pPr>
      <w:r>
        <w:t xml:space="preserve">Las ciudades necesitan modernizarse constantemente, son dinámicas y cambiantes, por lo cual, requieren ser transformadas de acuerdo con las necesidades de la ciudadanía y el progreso social, económico y de bienestar cultural de la sociedad. </w:t>
      </w:r>
    </w:p>
    <w:p w:rsidR="00C823F0" w:rsidRDefault="00C823F0">
      <w:pPr>
        <w:spacing w:line="360" w:lineRule="auto"/>
        <w:jc w:val="both"/>
        <w:rPr>
          <w:b/>
          <w:color w:val="FF0000"/>
        </w:rPr>
      </w:pPr>
    </w:p>
    <w:p w:rsidR="00C823F0" w:rsidRDefault="00867828">
      <w:pPr>
        <w:spacing w:line="360" w:lineRule="auto"/>
        <w:jc w:val="both"/>
      </w:pPr>
      <w:r>
        <w:t xml:space="preserve">La plaza La Santamaría fue declarada Monumento Nacional de Colombia en 1984 y reconocida como un Bien de Interés Cultural del Distrito en el 2001. Por lo tanto, se reconoce su importancia histórica, cultural y arquitectónica como un ícono de Bogotá. Es un lugar que merece dejar atrás el pasado taurino y la historia de tantos años de horror, muerte y crueldad animal para que sea reconocido como un lugar de vida y de oportunidades renovadas para las artes, el deporte, el turismo, la cultura, la economía y el bienestar comunitario. </w:t>
      </w:r>
    </w:p>
    <w:p w:rsidR="00C823F0" w:rsidRDefault="00C823F0">
      <w:pPr>
        <w:spacing w:line="360" w:lineRule="auto"/>
        <w:jc w:val="both"/>
        <w:rPr>
          <w:b/>
          <w:color w:val="FF0000"/>
        </w:rPr>
      </w:pPr>
    </w:p>
    <w:p w:rsidR="00C823F0" w:rsidRDefault="00867828">
      <w:pPr>
        <w:spacing w:line="360" w:lineRule="auto"/>
        <w:jc w:val="both"/>
      </w:pPr>
      <w:r>
        <w:t xml:space="preserve">Actualmente, nos encontramos ante un hito en la normatividad colombiana, que prohíbe las corridas de toros, que hacían parte de la llamada temporada taurina o “Fiesta brava” en La Plaza La Santamaría de Bogotá. Hoy se protege la vida animal y la apuesta es erradicar todo acto de crueldad y de violencia que vulnere la integridad física y emocional de seres sintientes. Así, conforme a la Ley 2385 de 2024 “por medio de la cual se aporta a una transformación cultural mediante la prohibición de las corridas de toros, rejoneo, novilladas, becerradas y tientas, así como de los procedimientos utilizados en estos espectáculos que socavan la integridad de formas de vida no humana”. </w:t>
      </w:r>
    </w:p>
    <w:p w:rsidR="00C823F0" w:rsidRDefault="00C823F0">
      <w:pPr>
        <w:spacing w:line="360" w:lineRule="auto"/>
        <w:jc w:val="both"/>
      </w:pPr>
    </w:p>
    <w:p w:rsidR="00C823F0" w:rsidRDefault="00867828">
      <w:pPr>
        <w:spacing w:line="360" w:lineRule="auto"/>
        <w:jc w:val="both"/>
      </w:pPr>
      <w:r>
        <w:t xml:space="preserve">Este proyecto de Acuerdo surge como iniciativa para promover estrategias, que lleven a la realidad la transformación de la Plaza La Santamaría, anterior Plaza de Toros La Santamaría, en un Centro cultural, artístico, deportivo y de bienestar comunitario de Bogotá. El Acuerdo se fundamenta en el reconocimiento y respeto por la vida animal, así como, la protección y apropiación del patrimonio cultural de la ciudad, en atención a la Ley 2385 de 2024.  </w:t>
      </w:r>
    </w:p>
    <w:p w:rsidR="00C823F0" w:rsidRDefault="00C823F0">
      <w:pPr>
        <w:spacing w:line="360" w:lineRule="auto"/>
        <w:jc w:val="both"/>
      </w:pPr>
    </w:p>
    <w:p w:rsidR="00C823F0" w:rsidRDefault="00867828">
      <w:pPr>
        <w:spacing w:line="360" w:lineRule="auto"/>
        <w:jc w:val="both"/>
      </w:pPr>
      <w:r>
        <w:t>Esta iniciativa, también, nace desde la expresión del activismo ciudadano para conmemorar la prohibición de las prácticas taurinas y fomentar la toma de conciencia pública sobre el respeto a los animales, como una ciudad que avanza hacia una sociedad más justa, ética y compasiva.</w:t>
      </w:r>
    </w:p>
    <w:p w:rsidR="00C823F0" w:rsidRDefault="00C823F0">
      <w:pPr>
        <w:spacing w:line="360" w:lineRule="auto"/>
        <w:jc w:val="both"/>
      </w:pPr>
    </w:p>
    <w:p w:rsidR="00C823F0" w:rsidRDefault="00867828">
      <w:pPr>
        <w:spacing w:line="360" w:lineRule="auto"/>
        <w:jc w:val="both"/>
      </w:pPr>
      <w:r>
        <w:t xml:space="preserve">La transformación de la Plaza La Santamaría, hará que Bogotá sea reconocida como una ciudad de gran riqueza patrimonial con total compromiso con la vida </w:t>
      </w:r>
      <w:r>
        <w:lastRenderedPageBreak/>
        <w:t>animal y que tiene una apuesta por dinamizar el desarrollo social, económico, turístico y cultural que involucra la participación ciudadana, la reconversión laboral y la transformación cultural.</w:t>
      </w:r>
    </w:p>
    <w:p w:rsidR="00C823F0" w:rsidRDefault="00C823F0">
      <w:pPr>
        <w:spacing w:line="360" w:lineRule="auto"/>
        <w:jc w:val="both"/>
      </w:pPr>
    </w:p>
    <w:p w:rsidR="00C823F0" w:rsidRDefault="00867828">
      <w:pPr>
        <w:numPr>
          <w:ilvl w:val="0"/>
          <w:numId w:val="1"/>
        </w:numPr>
        <w:pBdr>
          <w:top w:val="nil"/>
          <w:left w:val="nil"/>
          <w:bottom w:val="nil"/>
          <w:right w:val="nil"/>
          <w:between w:val="nil"/>
        </w:pBdr>
        <w:spacing w:line="360" w:lineRule="auto"/>
        <w:rPr>
          <w:b/>
        </w:rPr>
      </w:pPr>
      <w:r>
        <w:rPr>
          <w:b/>
        </w:rPr>
        <w:t>MARCO JURÍDICO</w:t>
      </w:r>
    </w:p>
    <w:p w:rsidR="00C823F0" w:rsidRDefault="00C823F0">
      <w:pPr>
        <w:spacing w:line="360" w:lineRule="auto"/>
        <w:jc w:val="both"/>
      </w:pPr>
    </w:p>
    <w:p w:rsidR="00C823F0" w:rsidRDefault="00867828">
      <w:pPr>
        <w:spacing w:line="360" w:lineRule="auto"/>
        <w:jc w:val="both"/>
      </w:pPr>
      <w:r>
        <w:t>A continuación, se sintetizan las disposiciones normativas del bloque de constitucionalidad, la Constitución Política, así como de rango legal y reglamentario que fundamentan la presente iniciativa:</w:t>
      </w:r>
    </w:p>
    <w:p w:rsidR="00C823F0" w:rsidRDefault="00C823F0">
      <w:pPr>
        <w:spacing w:line="360" w:lineRule="auto"/>
        <w:jc w:val="both"/>
      </w:pPr>
    </w:p>
    <w:p w:rsidR="00C823F0" w:rsidRDefault="00C823F0">
      <w:pPr>
        <w:spacing w:line="360" w:lineRule="auto"/>
        <w:jc w:val="both"/>
      </w:pPr>
    </w:p>
    <w:p w:rsidR="00C823F0" w:rsidRDefault="00867828">
      <w:pPr>
        <w:spacing w:line="360" w:lineRule="auto"/>
        <w:jc w:val="both"/>
        <w:rPr>
          <w:b/>
        </w:rPr>
      </w:pPr>
      <w:r>
        <w:rPr>
          <w:b/>
        </w:rPr>
        <w:t>CONSTITUCIÓN POLÍTICA DE COLOMBIA:</w:t>
      </w:r>
    </w:p>
    <w:p w:rsidR="00C823F0" w:rsidRDefault="00867828">
      <w:pPr>
        <w:spacing w:before="240" w:after="240" w:line="360" w:lineRule="auto"/>
        <w:jc w:val="both"/>
      </w:pPr>
      <w:r>
        <w:t>La Constitución Política de Colombia es reconocida como una “Constitución Ecológica” o “Constitución Verde”, pues establece diferentes disposiciones relacionadas con la protección del medio ambiente.</w:t>
      </w:r>
    </w:p>
    <w:p w:rsidR="00C823F0" w:rsidRDefault="00867828">
      <w:pPr>
        <w:spacing w:before="240" w:after="240" w:line="360" w:lineRule="auto"/>
        <w:jc w:val="both"/>
      </w:pPr>
      <w:r>
        <w:t xml:space="preserve">En particular, el artículo 79 constitucional consagra el </w:t>
      </w:r>
      <w:r>
        <w:rPr>
          <w:i/>
        </w:rPr>
        <w:t>derecho al medio ambiente sano</w:t>
      </w:r>
      <w:r>
        <w:t>, que ha sido reconocido como un derecho fundamental por parte de la Corte Constitucional, su intérprete auténtica, así:</w:t>
      </w:r>
    </w:p>
    <w:p w:rsidR="00C823F0" w:rsidRDefault="00867828">
      <w:pPr>
        <w:spacing w:before="240" w:after="240" w:line="360" w:lineRule="auto"/>
        <w:ind w:left="560"/>
        <w:jc w:val="both"/>
      </w:pPr>
      <w:r>
        <w:t>“</w:t>
      </w:r>
      <w:r>
        <w:rPr>
          <w:b/>
          <w:i/>
        </w:rPr>
        <w:t>ARTÍCULO 79.</w:t>
      </w:r>
      <w:r>
        <w:rPr>
          <w:i/>
        </w:rPr>
        <w:t xml:space="preserve"> Todas las personas tienen derecho a gozar de un ambiente sano. La Ley garantizará la participación de la comunidad en las decisiones que puedan afectarlo. Es deber del Estado proteger la diversidad e integridad del ambiente, conservar las áreas de especial importancia ecológica y </w:t>
      </w:r>
      <w:r>
        <w:rPr>
          <w:i/>
        </w:rPr>
        <w:lastRenderedPageBreak/>
        <w:t>fomentar la educación para el logro de estos fines. El Estado tiene un especial deber de protección del agua (…)</w:t>
      </w:r>
      <w:r>
        <w:t>”</w:t>
      </w:r>
      <w:r>
        <w:rPr>
          <w:vertAlign w:val="superscript"/>
        </w:rPr>
        <w:footnoteReference w:id="1"/>
      </w:r>
      <w:r>
        <w:t>.</w:t>
      </w:r>
    </w:p>
    <w:p w:rsidR="00C823F0" w:rsidRDefault="00867828">
      <w:pPr>
        <w:spacing w:before="240" w:after="240" w:line="360" w:lineRule="auto"/>
        <w:jc w:val="both"/>
      </w:pPr>
      <w:r>
        <w:t>En el mismo sentido, el artículo 67 constitucional estipula la obligación del Estado colombiano, en todos sus niveles, de proporcionar educación ambiental, en el caso concreto, para el reconocimiento de las sintiencia de los animales no humanos y el respeto por todas las formas de vida en la ciudad:</w:t>
      </w:r>
    </w:p>
    <w:p w:rsidR="00C823F0" w:rsidRDefault="00867828">
      <w:pPr>
        <w:spacing w:before="240" w:after="240" w:line="360" w:lineRule="auto"/>
        <w:ind w:left="560"/>
        <w:jc w:val="both"/>
        <w:rPr>
          <w:i/>
        </w:rPr>
      </w:pPr>
      <w:r>
        <w:rPr>
          <w:b/>
          <w:i/>
        </w:rPr>
        <w:t>“ARTÍCULO 67.</w:t>
      </w:r>
      <w:r>
        <w:rPr>
          <w:i/>
        </w:rPr>
        <w:t xml:space="preserve"> La educación es un derecho de la persona y un servicio público que tiene una función social; con ella se busca el acceso al conocimiento, a la ciencia, a la técnica, y a los demás bienes y valores de la cultura.</w:t>
      </w:r>
    </w:p>
    <w:p w:rsidR="00C823F0" w:rsidRDefault="00867828">
      <w:pPr>
        <w:spacing w:before="240" w:after="240" w:line="360" w:lineRule="auto"/>
        <w:ind w:left="560"/>
        <w:jc w:val="both"/>
      </w:pPr>
      <w:r>
        <w:rPr>
          <w:i/>
        </w:rPr>
        <w:t>La educación formará al colombiano en el respeto a los derechos humanos, a la paz y a la democracia; y en la práctica del trabajo y la recreación,</w:t>
      </w:r>
      <w:r>
        <w:rPr>
          <w:i/>
          <w:u w:val="single"/>
        </w:rPr>
        <w:t xml:space="preserve"> para el mejoramiento cultural, científico, tecnológico y para la protección del ambiente</w:t>
      </w:r>
      <w:r>
        <w:rPr>
          <w:i/>
        </w:rPr>
        <w:t>”</w:t>
      </w:r>
      <w:r>
        <w:rPr>
          <w:i/>
          <w:vertAlign w:val="superscript"/>
        </w:rPr>
        <w:footnoteReference w:id="2"/>
      </w:r>
      <w:r>
        <w:t xml:space="preserve"> (subrayado fuera del texto original).</w:t>
      </w:r>
    </w:p>
    <w:p w:rsidR="00C823F0" w:rsidRDefault="00C823F0">
      <w:pPr>
        <w:spacing w:line="360" w:lineRule="auto"/>
        <w:jc w:val="both"/>
        <w:rPr>
          <w:color w:val="4F6228"/>
        </w:rPr>
      </w:pPr>
    </w:p>
    <w:p w:rsidR="00C823F0" w:rsidRDefault="00867828">
      <w:pPr>
        <w:spacing w:line="480" w:lineRule="auto"/>
        <w:jc w:val="both"/>
        <w:rPr>
          <w:highlight w:val="white"/>
        </w:rPr>
      </w:pPr>
      <w:r>
        <w:rPr>
          <w:b/>
        </w:rPr>
        <w:t>Sentencia C-666 de 2010</w:t>
      </w:r>
      <w:r>
        <w:t>: La Corte Constitucional estableció que la protección de los animales tiene “</w:t>
      </w:r>
      <w:r>
        <w:rPr>
          <w:i/>
        </w:rPr>
        <w:t>rango y fuerza constitucional</w:t>
      </w:r>
      <w:r>
        <w:t xml:space="preserve">”, pues se deriva de tres pilares constitucionales: (i) el deber constitucional de protección del medio ambiente, consagrado en los artículos 8, 58, 79, 95.8 y 333, entre otros; (ii) el concepto de </w:t>
      </w:r>
      <w:r>
        <w:lastRenderedPageBreak/>
        <w:t>dignidad humana como fuente de obligaciones jurídicas respecto de los animales y (iii) la función social y ecológica de la propiedad, que constituye un límite al derecho de dominio en cabeza de los seres humanos. Además, en esa misma sentencia, la Corte resaltó que “</w:t>
      </w:r>
      <w:r>
        <w:rPr>
          <w:i/>
        </w:rPr>
        <w:t>un Estado Social debe buscar, entre otros, el bienestar animal, por ser éste un elemento connatural al desarrollo del principio de solidaridad</w:t>
      </w:r>
      <w:r>
        <w:t xml:space="preserve">”. Esa misma subregla que establece un deber constitucional de proteger a los animales en cabeza del Estado y los particulares, ha sido reiterada por la jurisprudencia vigente, en especial en las sentencias C-283 de 2014 </w:t>
      </w:r>
      <w:r>
        <w:rPr>
          <w:highlight w:val="white"/>
        </w:rPr>
        <w:t>—prohibición del uso de animales silvestres en circos—; y C-045 de 2019 —prohibición de la llama “caza deportiva”—.</w:t>
      </w:r>
    </w:p>
    <w:p w:rsidR="00C823F0" w:rsidRDefault="00C823F0">
      <w:pPr>
        <w:spacing w:line="480" w:lineRule="auto"/>
        <w:jc w:val="both"/>
        <w:rPr>
          <w:highlight w:val="white"/>
        </w:rPr>
      </w:pPr>
    </w:p>
    <w:p w:rsidR="00C823F0" w:rsidRDefault="00867828">
      <w:pPr>
        <w:shd w:val="clear" w:color="auto" w:fill="FFFFFF"/>
        <w:spacing w:line="480" w:lineRule="auto"/>
        <w:jc w:val="both"/>
        <w:rPr>
          <w:b/>
          <w:u w:val="single"/>
        </w:rPr>
      </w:pPr>
      <w:r>
        <w:rPr>
          <w:b/>
        </w:rPr>
        <w:t>Sentencia C-742 de 2006:</w:t>
      </w:r>
      <w:r>
        <w:rPr>
          <w:b/>
          <w:u w:val="single"/>
        </w:rPr>
        <w:t xml:space="preserve"> </w:t>
      </w:r>
      <w:r>
        <w:t>PATRIMONIO CULTURAL DE LA NACIÓN</w:t>
      </w:r>
      <w:r>
        <w:rPr>
          <w:b/>
        </w:rPr>
        <w:t>-</w:t>
      </w:r>
      <w:r>
        <w:t>Protección de bienes declarados de interés cultural</w:t>
      </w:r>
    </w:p>
    <w:p w:rsidR="00C823F0" w:rsidRDefault="00867828">
      <w:pPr>
        <w:shd w:val="clear" w:color="auto" w:fill="FFFFFF"/>
        <w:spacing w:line="480" w:lineRule="auto"/>
        <w:jc w:val="both"/>
      </w:pPr>
      <w:r>
        <w:t>(…) </w:t>
      </w:r>
      <w:r>
        <w:rPr>
          <w:i/>
        </w:rPr>
        <w:t xml:space="preserve">“El concepto de patrimonio cultural de la Nación es general y el de interés cultural es especial, de ahí que los bienes que hacen parte de la primera categoría no siempre pertenezcan a la segunda, pero los que adquieren el carácter especial de interés cultural, dada su declaratoria, siempre hacen parte del patrimonio cultural de la Nación. La segunda, la declaratoria de bienes de interés cultural no quiere decir que se excluye la protección de los bienes que hacen parte del patrimonio </w:t>
      </w:r>
      <w:r>
        <w:rPr>
          <w:i/>
        </w:rPr>
        <w:lastRenderedPageBreak/>
        <w:t>cultural de la Nación, simplemente significa que aquellos gozan de la protección especial que otorga la Ley 397 de 1997. Dicho de otro modo, las expresiones impugnadas no están dirigidas a excluir la protección de los bienes del patrimonio cultural de la Nación, sino a otorgar especial cuidado y garantía a los que se consideran de interés cultural. Y, la tercera, al aplicar la ley general de la cultura y las normas que la reglamentan únicamente a los bienes que han sido declarados de interés cultural, evidentemente se establecen restricciones y garantías solamente para esos bienes, excluyéndose, de esta forma, los bienes que hacen parte del patrimonio cultural de la Nación que no han sido declarados de interés cultural”</w:t>
      </w:r>
      <w:r>
        <w:t>.</w:t>
      </w:r>
    </w:p>
    <w:p w:rsidR="00C823F0" w:rsidRDefault="00C823F0">
      <w:pPr>
        <w:shd w:val="clear" w:color="auto" w:fill="FFFFFF"/>
        <w:spacing w:line="480" w:lineRule="auto"/>
        <w:jc w:val="both"/>
      </w:pPr>
    </w:p>
    <w:p w:rsidR="00C823F0" w:rsidRDefault="00867828">
      <w:pPr>
        <w:spacing w:line="276" w:lineRule="auto"/>
        <w:jc w:val="both"/>
        <w:rPr>
          <w:b/>
        </w:rPr>
      </w:pPr>
      <w:r>
        <w:rPr>
          <w:b/>
        </w:rPr>
        <w:t>MARCO LEGAL</w:t>
      </w:r>
    </w:p>
    <w:p w:rsidR="00C823F0" w:rsidRDefault="00C823F0">
      <w:pPr>
        <w:spacing w:line="276" w:lineRule="auto"/>
        <w:jc w:val="both"/>
        <w:rPr>
          <w:b/>
        </w:rPr>
      </w:pPr>
    </w:p>
    <w:p w:rsidR="00C823F0" w:rsidRDefault="00C823F0">
      <w:pPr>
        <w:spacing w:line="276" w:lineRule="auto"/>
        <w:jc w:val="both"/>
        <w:rPr>
          <w:b/>
        </w:rPr>
      </w:pPr>
    </w:p>
    <w:p w:rsidR="00C823F0" w:rsidRDefault="00867828">
      <w:pPr>
        <w:spacing w:line="480" w:lineRule="auto"/>
        <w:jc w:val="both"/>
      </w:pPr>
      <w:r>
        <w:t>Como un hito en la normatividad Colombiana para la protección y el bienestar de los animales, se reconoce</w:t>
      </w:r>
      <w:r>
        <w:rPr>
          <w:b/>
        </w:rPr>
        <w:t xml:space="preserve"> Ley 2385 de 2024</w:t>
      </w:r>
      <w:r>
        <w:t xml:space="preserve"> “Por medio de la cual se aporta a una transformación cultural mediante la prohibición de las corridas de toros, rejoneo, novilladas, becerradas y tientas, así como de los procedimientos utilizados en estos espectáculos que socavan la integridad de formas de vida no humana”. Estas </w:t>
      </w:r>
      <w:r>
        <w:lastRenderedPageBreak/>
        <w:t>disposiciones que son aplicables a todo el territorio nacional, entrarán en vigor transcurridos tres años desde su sanción, es decir, a partir del 2027.</w:t>
      </w:r>
    </w:p>
    <w:p w:rsidR="00C823F0" w:rsidRDefault="00C823F0">
      <w:pPr>
        <w:spacing w:line="480" w:lineRule="auto"/>
        <w:jc w:val="both"/>
      </w:pPr>
    </w:p>
    <w:p w:rsidR="00C823F0" w:rsidRDefault="00867828">
      <w:pPr>
        <w:spacing w:line="480" w:lineRule="auto"/>
        <w:jc w:val="both"/>
      </w:pPr>
      <w:r>
        <w:t xml:space="preserve">Al respecto, temas relevantes de la citada Ley son abordados en el presente Proyecto de Acuerdo. Tales como: La </w:t>
      </w:r>
      <w:r>
        <w:rPr>
          <w:b/>
        </w:rPr>
        <w:t>reconversión laboral</w:t>
      </w:r>
      <w:r>
        <w:t xml:space="preserve">,  para facilitar el tránsito de las personas que dependen directamente de estas actividades, hacia otras actividades económicas y/o laborales. También, la </w:t>
      </w:r>
      <w:r>
        <w:rPr>
          <w:b/>
        </w:rPr>
        <w:t>reconversión cultural</w:t>
      </w:r>
      <w:r>
        <w:t xml:space="preserve">, donde se establece un plazo de un año contados a partir de la entrada en vigencia de la prohibición, para llevar a cabo el proceso de reconversión de los escenarios de propiedad pública en espacios destinados a actividades culturales, lúdicas, deportivas y artísticas. </w:t>
      </w:r>
    </w:p>
    <w:p w:rsidR="00C823F0" w:rsidRDefault="00867828">
      <w:pPr>
        <w:spacing w:line="480" w:lineRule="auto"/>
        <w:jc w:val="both"/>
        <w:rPr>
          <w:b/>
        </w:rPr>
      </w:pPr>
      <w:r>
        <w:t xml:space="preserve">Otra de las apuestas del presente Proyecto de Acuerdo es </w:t>
      </w:r>
      <w:r>
        <w:rPr>
          <w:b/>
        </w:rPr>
        <w:t xml:space="preserve">fomentar una cultura ciudadana alrededor de la vida y la protección animal </w:t>
      </w:r>
      <w:r>
        <w:t xml:space="preserve">y que desincentivan las prácticas prohibidas en la Ley 2385 de 2024. Adicional, </w:t>
      </w:r>
      <w:r>
        <w:rPr>
          <w:b/>
        </w:rPr>
        <w:t xml:space="preserve">promover la protección del patrimonio cultural del país.  </w:t>
      </w:r>
    </w:p>
    <w:p w:rsidR="00C823F0" w:rsidRDefault="00C823F0">
      <w:pPr>
        <w:spacing w:line="276" w:lineRule="auto"/>
        <w:jc w:val="both"/>
        <w:rPr>
          <w:b/>
        </w:rPr>
      </w:pPr>
    </w:p>
    <w:p w:rsidR="00C823F0" w:rsidRDefault="00867828">
      <w:pPr>
        <w:spacing w:line="480" w:lineRule="auto"/>
        <w:jc w:val="both"/>
        <w:rPr>
          <w:highlight w:val="white"/>
        </w:rPr>
      </w:pPr>
      <w:r>
        <w:rPr>
          <w:b/>
          <w:highlight w:val="white"/>
        </w:rPr>
        <w:t xml:space="preserve">Ley 84 de 1989 </w:t>
      </w:r>
      <w:r>
        <w:rPr>
          <w:highlight w:val="white"/>
        </w:rPr>
        <w:t>“Por la cual se adopta el Estatuto Nacional de Protección de los Animales y se crean unas contravenciones y se regula lo referente a su procedimiento y competencia”.</w:t>
      </w:r>
    </w:p>
    <w:p w:rsidR="00C823F0" w:rsidRDefault="00C823F0">
      <w:pPr>
        <w:spacing w:line="480" w:lineRule="auto"/>
        <w:jc w:val="both"/>
        <w:rPr>
          <w:highlight w:val="white"/>
        </w:rPr>
      </w:pPr>
    </w:p>
    <w:p w:rsidR="00C823F0" w:rsidRDefault="00867828">
      <w:pPr>
        <w:spacing w:line="480" w:lineRule="auto"/>
        <w:ind w:firstLine="709"/>
        <w:jc w:val="both"/>
        <w:rPr>
          <w:highlight w:val="white"/>
        </w:rPr>
      </w:pPr>
      <w:r>
        <w:rPr>
          <w:highlight w:val="white"/>
        </w:rPr>
        <w:t>“</w:t>
      </w:r>
      <w:r>
        <w:rPr>
          <w:b/>
          <w:highlight w:val="white"/>
        </w:rPr>
        <w:t>ARTÍCULO 2°.</w:t>
      </w:r>
      <w:r>
        <w:rPr>
          <w:highlight w:val="white"/>
        </w:rPr>
        <w:t xml:space="preserve"> </w:t>
      </w:r>
      <w:r>
        <w:rPr>
          <w:color w:val="333333"/>
          <w:highlight w:val="white"/>
        </w:rPr>
        <w:t>Las disposiciones de la presente Ley, tienen por objeto:</w:t>
      </w:r>
    </w:p>
    <w:p w:rsidR="00C823F0" w:rsidRDefault="00867828">
      <w:pPr>
        <w:spacing w:line="480" w:lineRule="auto"/>
        <w:jc w:val="both"/>
        <w:rPr>
          <w:highlight w:val="white"/>
        </w:rPr>
      </w:pPr>
      <w:r>
        <w:rPr>
          <w:i/>
          <w:highlight w:val="white"/>
        </w:rPr>
        <w:t>(a) Prevenir y tratar el dolor y el sufrimiento de los animales; (b) Promover la salud y el bienestar de los animales, asegurándoles higiene, sanidad y condiciones apropiadas de existencia; (c) Erradicar y sancionar el maltrato y los actos de crueldad para con los animales</w:t>
      </w:r>
      <w:r>
        <w:rPr>
          <w:highlight w:val="white"/>
        </w:rPr>
        <w:t xml:space="preserve">”. </w:t>
      </w:r>
    </w:p>
    <w:p w:rsidR="00C823F0" w:rsidRDefault="00C823F0">
      <w:pPr>
        <w:spacing w:line="480" w:lineRule="auto"/>
      </w:pPr>
    </w:p>
    <w:p w:rsidR="00C823F0" w:rsidRDefault="00867828">
      <w:pPr>
        <w:spacing w:line="480" w:lineRule="auto"/>
        <w:jc w:val="both"/>
        <w:rPr>
          <w:highlight w:val="white"/>
        </w:rPr>
      </w:pPr>
      <w:r>
        <w:rPr>
          <w:b/>
          <w:highlight w:val="white"/>
        </w:rPr>
        <w:t>Ley 1774 de 2016</w:t>
      </w:r>
      <w:r>
        <w:rPr>
          <w:highlight w:val="white"/>
        </w:rPr>
        <w:t xml:space="preserve"> “Por medio de la cual se modifican el código civil, la ley 84 de 1989, el código penal, el código de procedimiento penal y se dictan otras disposiciones".</w:t>
      </w:r>
    </w:p>
    <w:p w:rsidR="00C823F0" w:rsidRDefault="00C823F0">
      <w:pPr>
        <w:spacing w:line="480" w:lineRule="auto"/>
        <w:jc w:val="both"/>
        <w:rPr>
          <w:b/>
          <w:sz w:val="25"/>
          <w:szCs w:val="25"/>
          <w:highlight w:val="white"/>
        </w:rPr>
      </w:pPr>
    </w:p>
    <w:p w:rsidR="00C823F0" w:rsidRDefault="00867828">
      <w:pPr>
        <w:spacing w:line="480" w:lineRule="auto"/>
        <w:jc w:val="both"/>
        <w:rPr>
          <w:highlight w:val="white"/>
        </w:rPr>
      </w:pPr>
      <w:r>
        <w:rPr>
          <w:b/>
          <w:highlight w:val="white"/>
        </w:rPr>
        <w:t>ARTÍCULO 2</w:t>
      </w:r>
      <w:r>
        <w:rPr>
          <w:b/>
          <w:color w:val="333333"/>
          <w:highlight w:val="white"/>
        </w:rPr>
        <w:t>°</w:t>
      </w:r>
      <w:r>
        <w:rPr>
          <w:color w:val="333333"/>
          <w:highlight w:val="white"/>
        </w:rPr>
        <w:t>.</w:t>
      </w:r>
      <w:r>
        <w:rPr>
          <w:color w:val="333333"/>
          <w:sz w:val="25"/>
          <w:szCs w:val="25"/>
          <w:highlight w:val="white"/>
        </w:rPr>
        <w:t xml:space="preserve"> Modifíquese el artículo 655 del Código Civil, así:</w:t>
      </w:r>
    </w:p>
    <w:p w:rsidR="00C823F0" w:rsidRDefault="00867828">
      <w:pPr>
        <w:spacing w:line="480" w:lineRule="auto"/>
        <w:jc w:val="both"/>
        <w:rPr>
          <w:b/>
          <w:highlight w:val="white"/>
        </w:rPr>
      </w:pPr>
      <w:r>
        <w:rPr>
          <w:b/>
          <w:highlight w:val="white"/>
        </w:rPr>
        <w:t>Artículo 655:</w:t>
      </w:r>
    </w:p>
    <w:p w:rsidR="00C823F0" w:rsidRDefault="00867828">
      <w:pPr>
        <w:spacing w:line="480" w:lineRule="auto"/>
        <w:jc w:val="both"/>
        <w:rPr>
          <w:highlight w:val="white"/>
        </w:rPr>
      </w:pPr>
      <w:r>
        <w:rPr>
          <w:b/>
          <w:color w:val="333333"/>
          <w:highlight w:val="white"/>
        </w:rPr>
        <w:t>PARÁGRAFO</w:t>
      </w:r>
      <w:r>
        <w:rPr>
          <w:b/>
          <w:i/>
          <w:color w:val="333333"/>
          <w:highlight w:val="white"/>
        </w:rPr>
        <w:t>.</w:t>
      </w:r>
      <w:r>
        <w:rPr>
          <w:i/>
          <w:color w:val="333333"/>
          <w:highlight w:val="white"/>
        </w:rPr>
        <w:t xml:space="preserve"> </w:t>
      </w:r>
      <w:r>
        <w:rPr>
          <w:i/>
          <w:color w:val="333333"/>
          <w:sz w:val="25"/>
          <w:szCs w:val="25"/>
          <w:highlight w:val="white"/>
        </w:rPr>
        <w:t>Reconózcase la calidad de seres sintientes a los animales.</w:t>
      </w:r>
    </w:p>
    <w:p w:rsidR="00C823F0" w:rsidRDefault="00C823F0">
      <w:pPr>
        <w:spacing w:line="480" w:lineRule="auto"/>
        <w:jc w:val="both"/>
        <w:rPr>
          <w:b/>
          <w:color w:val="333333"/>
          <w:highlight w:val="white"/>
        </w:rPr>
      </w:pPr>
    </w:p>
    <w:p w:rsidR="00C823F0" w:rsidRDefault="00867828">
      <w:pPr>
        <w:spacing w:line="480" w:lineRule="auto"/>
        <w:jc w:val="both"/>
        <w:rPr>
          <w:i/>
          <w:color w:val="333333"/>
          <w:highlight w:val="white"/>
        </w:rPr>
      </w:pPr>
      <w:r>
        <w:rPr>
          <w:b/>
          <w:color w:val="333333"/>
          <w:highlight w:val="white"/>
        </w:rPr>
        <w:t>ARTÍCULO  3°</w:t>
      </w:r>
      <w:r>
        <w:rPr>
          <w:color w:val="333333"/>
          <w:highlight w:val="white"/>
        </w:rPr>
        <w:t xml:space="preserve">. </w:t>
      </w:r>
      <w:r>
        <w:rPr>
          <w:i/>
          <w:color w:val="333333"/>
          <w:highlight w:val="white"/>
        </w:rPr>
        <w:t>Principios.</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 xml:space="preserve">a) Protección al animal. El trato a los animales se basa en el respeto, la solidaridad, la compasión, la ética, la justicia, el cuidado, la prevención del </w:t>
      </w:r>
      <w:r>
        <w:rPr>
          <w:i/>
          <w:color w:val="333333"/>
          <w:sz w:val="25"/>
          <w:szCs w:val="25"/>
          <w:highlight w:val="white"/>
        </w:rPr>
        <w:lastRenderedPageBreak/>
        <w:t>sufrimiento, la erradicación del cautiverio y el abandono, así como de cualquier forma de abuso, maltrato, violencia, y trato cruel;</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b) Bienestar animal. En el cuidado de los animales, el responsable o tenedor de ellos asegurara como mínima:</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 xml:space="preserve"> 1. Que no sufran hambre ni sed,</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2. Que no sufran injustificadamente malestar físico ni dolor;</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3. Que no les sean provocadas enfermedades por negligencia o descuido;</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4. Que no sean sometidos a condiciones de miedo ni estrés;</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5. Que puedan manifestar su comportamiento natural;</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c) Solidaridad social. El Estado, la sociedad y sus miembros tienen la obligación de asistir y proteger a los animales con acciones diligentes ante situaciones que pongan en peligro su vida, su salud o su integridad física.</w:t>
      </w:r>
    </w:p>
    <w:p w:rsidR="00C823F0" w:rsidRDefault="00867828">
      <w:pPr>
        <w:shd w:val="clear" w:color="auto" w:fill="FFFFFF"/>
        <w:spacing w:before="240" w:line="276" w:lineRule="auto"/>
        <w:jc w:val="both"/>
        <w:rPr>
          <w:i/>
          <w:color w:val="333333"/>
          <w:sz w:val="25"/>
          <w:szCs w:val="25"/>
          <w:highlight w:val="white"/>
        </w:rPr>
      </w:pPr>
      <w:r>
        <w:rPr>
          <w:i/>
          <w:color w:val="333333"/>
          <w:sz w:val="25"/>
          <w:szCs w:val="25"/>
          <w:highlight w:val="white"/>
        </w:rPr>
        <w:t>Asimismo, tienen la responsabilidad de tomar parte activa en la prevención y eliminación del maltrato, crueldad y violencia contra los animales; también es su deber abstenerse de cualquier acto injustificado de violencia o maltrato contra estos y denunciar aquellos infractores de las conductas señaladas de las que se tenga conocimiento.</w:t>
      </w:r>
    </w:p>
    <w:p w:rsidR="00C823F0" w:rsidRDefault="00C823F0">
      <w:pPr>
        <w:spacing w:line="480" w:lineRule="auto"/>
        <w:jc w:val="both"/>
        <w:rPr>
          <w:i/>
          <w:color w:val="333333"/>
          <w:highlight w:val="white"/>
        </w:rPr>
      </w:pPr>
    </w:p>
    <w:p w:rsidR="00C823F0" w:rsidRDefault="00C823F0">
      <w:pPr>
        <w:spacing w:line="480" w:lineRule="auto"/>
        <w:jc w:val="both"/>
        <w:rPr>
          <w:i/>
          <w:color w:val="333333"/>
          <w:highlight w:val="white"/>
        </w:rPr>
      </w:pPr>
    </w:p>
    <w:p w:rsidR="00C823F0" w:rsidRDefault="00C823F0">
      <w:pPr>
        <w:spacing w:line="480" w:lineRule="auto"/>
        <w:jc w:val="both"/>
        <w:rPr>
          <w:i/>
          <w:color w:val="333333"/>
          <w:highlight w:val="white"/>
        </w:rPr>
      </w:pPr>
    </w:p>
    <w:p w:rsidR="00C823F0" w:rsidRDefault="00C823F0">
      <w:pPr>
        <w:spacing w:line="480" w:lineRule="auto"/>
        <w:jc w:val="both"/>
        <w:rPr>
          <w:i/>
          <w:color w:val="333333"/>
          <w:highlight w:val="white"/>
        </w:rPr>
      </w:pPr>
    </w:p>
    <w:p w:rsidR="00C823F0" w:rsidRDefault="00C823F0">
      <w:pPr>
        <w:spacing w:line="480" w:lineRule="auto"/>
        <w:jc w:val="both"/>
        <w:rPr>
          <w:i/>
          <w:color w:val="333333"/>
          <w:highlight w:val="white"/>
        </w:rPr>
      </w:pPr>
    </w:p>
    <w:p w:rsidR="00C823F0" w:rsidRDefault="00C823F0">
      <w:pPr>
        <w:spacing w:line="480" w:lineRule="auto"/>
        <w:jc w:val="both"/>
        <w:rPr>
          <w:highlight w:val="white"/>
        </w:rPr>
      </w:pPr>
    </w:p>
    <w:p w:rsidR="00C823F0" w:rsidRDefault="00867828">
      <w:pPr>
        <w:spacing w:line="480" w:lineRule="auto"/>
        <w:jc w:val="both"/>
      </w:pPr>
      <w:r>
        <w:t xml:space="preserve"> </w:t>
      </w:r>
      <w:r>
        <w:rPr>
          <w:b/>
        </w:rPr>
        <w:t xml:space="preserve">Ley 397 de 1997 </w:t>
      </w:r>
      <w:r>
        <w:t>“P</w:t>
      </w:r>
      <w:r>
        <w:rPr>
          <w:i/>
          <w:sz w:val="25"/>
          <w:szCs w:val="25"/>
        </w:rPr>
        <w:t>or la cual se desarrollan los Artículos </w:t>
      </w:r>
      <w:hyperlink r:id="rId28" w:anchor="70">
        <w:r>
          <w:rPr>
            <w:sz w:val="25"/>
            <w:szCs w:val="25"/>
          </w:rPr>
          <w:t>70</w:t>
        </w:r>
      </w:hyperlink>
      <w:r>
        <w:rPr>
          <w:i/>
          <w:sz w:val="25"/>
          <w:szCs w:val="25"/>
        </w:rPr>
        <w:t>, </w:t>
      </w:r>
      <w:hyperlink r:id="rId29" w:anchor="71">
        <w:r>
          <w:rPr>
            <w:sz w:val="25"/>
            <w:szCs w:val="25"/>
          </w:rPr>
          <w:t>71</w:t>
        </w:r>
      </w:hyperlink>
      <w:r>
        <w:rPr>
          <w:i/>
          <w:sz w:val="25"/>
          <w:szCs w:val="25"/>
        </w:rPr>
        <w:t> y </w:t>
      </w:r>
      <w:hyperlink r:id="rId30" w:anchor="72">
        <w:r>
          <w:rPr>
            <w:sz w:val="25"/>
            <w:szCs w:val="25"/>
          </w:rPr>
          <w:t>72</w:t>
        </w:r>
      </w:hyperlink>
      <w:r>
        <w:rPr>
          <w:i/>
          <w:sz w:val="25"/>
          <w:szCs w:val="25"/>
        </w:rPr>
        <w:t> y demás Artículos concordantes de la Constitución Política y se dictan normas sobre patrimonio cultural, fomentos y estímulos a la cultura, se crea el Ministerio de la Cultura y se trasladan algunas dependencias”.</w:t>
      </w:r>
    </w:p>
    <w:p w:rsidR="00C823F0" w:rsidRDefault="00C823F0">
      <w:pPr>
        <w:pBdr>
          <w:top w:val="nil"/>
          <w:left w:val="nil"/>
          <w:bottom w:val="nil"/>
          <w:right w:val="nil"/>
          <w:between w:val="nil"/>
        </w:pBdr>
        <w:spacing w:line="480" w:lineRule="auto"/>
        <w:ind w:left="720"/>
        <w:jc w:val="both"/>
        <w:rPr>
          <w:b/>
        </w:rPr>
      </w:pPr>
    </w:p>
    <w:p w:rsidR="00C823F0" w:rsidRDefault="00867828">
      <w:pPr>
        <w:spacing w:line="480" w:lineRule="auto"/>
        <w:ind w:left="360"/>
        <w:jc w:val="both"/>
      </w:pPr>
      <w:r>
        <w:rPr>
          <w:b/>
        </w:rPr>
        <w:t xml:space="preserve">ARTÍCULO 1°. </w:t>
      </w:r>
      <w:r>
        <w:t>Define la cultura como un derecho de todos los ciudadanos y establece que el Estado debe fomentar y promover la cultura. Esta ley proporciona unos principios fundamentales como marco para apoyar los procesos, proyectos y actividades culturales que incluyen la apuesta de transformación de la Plaza La Santamaría, por medio de la cual se busca también valorar</w:t>
      </w:r>
      <w:r>
        <w:rPr>
          <w:sz w:val="25"/>
          <w:szCs w:val="25"/>
          <w:highlight w:val="white"/>
        </w:rPr>
        <w:t>, proteger y difundir el Patrimonio Cultural de la Nación.</w:t>
      </w:r>
    </w:p>
    <w:p w:rsidR="00C823F0" w:rsidRDefault="00C823F0">
      <w:pPr>
        <w:spacing w:line="480" w:lineRule="auto"/>
        <w:jc w:val="both"/>
        <w:rPr>
          <w:b/>
        </w:rPr>
      </w:pPr>
    </w:p>
    <w:p w:rsidR="00C823F0" w:rsidRDefault="00867828">
      <w:pPr>
        <w:spacing w:line="480" w:lineRule="auto"/>
        <w:jc w:val="both"/>
      </w:pPr>
      <w:r>
        <w:rPr>
          <w:b/>
        </w:rPr>
        <w:t>Ley 1098 de 2006</w:t>
      </w:r>
      <w:r>
        <w:t xml:space="preserve"> “Por la cual se expide el Código de la Infancia y la Adolescencia”</w:t>
      </w:r>
    </w:p>
    <w:p w:rsidR="00C823F0" w:rsidRDefault="00C823F0">
      <w:pPr>
        <w:spacing w:line="480" w:lineRule="auto"/>
        <w:ind w:left="360"/>
        <w:jc w:val="both"/>
        <w:rPr>
          <w:b/>
        </w:rPr>
      </w:pPr>
    </w:p>
    <w:p w:rsidR="00C823F0" w:rsidRDefault="00867828">
      <w:pPr>
        <w:spacing w:line="480" w:lineRule="auto"/>
        <w:ind w:left="360"/>
        <w:jc w:val="both"/>
      </w:pPr>
      <w:r>
        <w:rPr>
          <w:b/>
        </w:rPr>
        <w:t xml:space="preserve">ARTÍCULO 30°. Derecho a la recreación, participación en la vida cultural y en las artes. </w:t>
      </w:r>
      <w:r>
        <w:t xml:space="preserve">Enfatiza el derecho de los niños y adolescentes a participar en actividades culturales, recreativas, de esparcimiento. Las actividades a </w:t>
      </w:r>
      <w:r>
        <w:lastRenderedPageBreak/>
        <w:t xml:space="preserve">realizarse en la Plaza La Santamaría involucran la promoción de una estrategia educativa, cultural y de las artes para las familias, niños, niñas y adolescentes. </w:t>
      </w:r>
    </w:p>
    <w:p w:rsidR="00C823F0" w:rsidRDefault="00C823F0">
      <w:pPr>
        <w:spacing w:line="480" w:lineRule="auto"/>
        <w:jc w:val="both"/>
      </w:pPr>
    </w:p>
    <w:p w:rsidR="00C823F0" w:rsidRDefault="00867828">
      <w:pPr>
        <w:spacing w:line="480" w:lineRule="auto"/>
        <w:jc w:val="both"/>
      </w:pPr>
      <w:r>
        <w:rPr>
          <w:b/>
        </w:rPr>
        <w:t>Ley 115 de 1994</w:t>
      </w:r>
      <w:r>
        <w:t xml:space="preserve"> “Por la cual se expide la ley general de educación”</w:t>
      </w:r>
    </w:p>
    <w:p w:rsidR="00C823F0" w:rsidRDefault="00C823F0">
      <w:pPr>
        <w:spacing w:line="480" w:lineRule="auto"/>
        <w:jc w:val="both"/>
      </w:pPr>
    </w:p>
    <w:p w:rsidR="00C823F0" w:rsidRDefault="00867828">
      <w:pPr>
        <w:spacing w:line="480" w:lineRule="auto"/>
        <w:ind w:left="360"/>
        <w:jc w:val="both"/>
      </w:pPr>
      <w:r>
        <w:rPr>
          <w:b/>
        </w:rPr>
        <w:t>ARTÍCULO 5°.</w:t>
      </w:r>
      <w:r>
        <w:t xml:space="preserve"> </w:t>
      </w:r>
      <w:r>
        <w:rPr>
          <w:b/>
        </w:rPr>
        <w:t>Fines de la educación.</w:t>
      </w:r>
      <w:r>
        <w:t xml:space="preserve"> Esta ley proporciona los elementos más importantes para la adquisición de una conciencia para la conservación, la protección y la defensa del patrimonio cultural de la Nación. Así, permite avanzar en una cultura de respeto por la vida de los animales y de protección del patrimonio cultural de la Plaza la Santamaría.</w:t>
      </w:r>
    </w:p>
    <w:p w:rsidR="00C823F0" w:rsidRDefault="00C823F0">
      <w:pPr>
        <w:spacing w:line="480" w:lineRule="auto"/>
        <w:ind w:left="360"/>
        <w:jc w:val="both"/>
      </w:pPr>
    </w:p>
    <w:p w:rsidR="00C823F0" w:rsidRDefault="00867828">
      <w:pPr>
        <w:spacing w:line="480" w:lineRule="auto"/>
        <w:ind w:left="360"/>
        <w:jc w:val="both"/>
      </w:pPr>
      <w:r>
        <w:rPr>
          <w:b/>
        </w:rPr>
        <w:t>ARTÍCULO 8°. La sociedad.</w:t>
      </w:r>
      <w:r>
        <w:t xml:space="preserve"> Participará en proteger y defender la educación como patrimonio social y cultural de toda la Nación.</w:t>
      </w:r>
    </w:p>
    <w:p w:rsidR="00C823F0" w:rsidRDefault="00C823F0">
      <w:pPr>
        <w:spacing w:line="480" w:lineRule="auto"/>
        <w:jc w:val="both"/>
        <w:rPr>
          <w:b/>
          <w:color w:val="FF0000"/>
        </w:rPr>
      </w:pPr>
    </w:p>
    <w:p w:rsidR="00C823F0" w:rsidRDefault="00867828">
      <w:pPr>
        <w:spacing w:line="480" w:lineRule="auto"/>
        <w:ind w:right="49"/>
        <w:jc w:val="both"/>
      </w:pPr>
      <w:r>
        <w:rPr>
          <w:b/>
        </w:rPr>
        <w:t>Ley 181 de 1995</w:t>
      </w:r>
      <w:r>
        <w:t> “</w:t>
      </w:r>
      <w:r>
        <w:rPr>
          <w:i/>
        </w:rPr>
        <w:t>Por el cual se dictan disposiciones para el fomento del deporte, la recreación, el aprovechamiento del tiempo libre y la Educación Física y se crea el Sistema Nacional del Deporte</w:t>
      </w:r>
      <w:r>
        <w:t>.”</w:t>
      </w:r>
    </w:p>
    <w:p w:rsidR="00C823F0" w:rsidRDefault="00C823F0">
      <w:pPr>
        <w:spacing w:line="480" w:lineRule="auto"/>
        <w:ind w:right="49"/>
        <w:jc w:val="both"/>
      </w:pPr>
    </w:p>
    <w:p w:rsidR="00C823F0" w:rsidRDefault="00867828">
      <w:pPr>
        <w:spacing w:line="480" w:lineRule="auto"/>
        <w:ind w:right="49"/>
        <w:jc w:val="both"/>
      </w:pPr>
      <w:r>
        <w:rPr>
          <w:b/>
        </w:rPr>
        <w:lastRenderedPageBreak/>
        <w:t>Decreto 3888 de 2007</w:t>
      </w:r>
      <w:r>
        <w:t xml:space="preserve"> “Por el cual se adopta el Plan Nacional de Emergencia y Contingencia para Eventos de Afluencia Masiva de Público y se conforma la Comisión Nacional Asesora de Programas Masivos y se dictan otras disposiciones”.</w:t>
      </w:r>
    </w:p>
    <w:p w:rsidR="00C823F0" w:rsidRDefault="00C823F0">
      <w:pPr>
        <w:spacing w:line="480" w:lineRule="auto"/>
        <w:ind w:right="49"/>
        <w:jc w:val="both"/>
      </w:pPr>
    </w:p>
    <w:p w:rsidR="00C823F0" w:rsidRDefault="00867828">
      <w:pPr>
        <w:spacing w:line="480" w:lineRule="auto"/>
        <w:ind w:left="425" w:right="49"/>
        <w:jc w:val="both"/>
      </w:pPr>
      <w:r>
        <w:rPr>
          <w:b/>
        </w:rPr>
        <w:t>ARTÍCULO 11°. Competencia</w:t>
      </w:r>
      <w:r>
        <w:t>. Corresponde a la administración local a través de su Secretaría de Gobierno o del Interior exigir el cumplimiento de los requisitos establecidos por cada Comité Local o Regional de Emergencias y aprobar la realización de eventos de afluencia masiva de público en edificaciones, locaciones o escenarios públicos o privados, fijos o itinerantes, en su jurisdicción”</w:t>
      </w:r>
    </w:p>
    <w:p w:rsidR="00C823F0" w:rsidRDefault="00C823F0">
      <w:pPr>
        <w:spacing w:line="480" w:lineRule="auto"/>
        <w:jc w:val="both"/>
        <w:rPr>
          <w:b/>
        </w:rPr>
      </w:pPr>
    </w:p>
    <w:p w:rsidR="00C823F0" w:rsidRDefault="00867828">
      <w:pPr>
        <w:spacing w:line="480" w:lineRule="auto"/>
        <w:jc w:val="both"/>
        <w:rPr>
          <w:color w:val="FF0000"/>
        </w:rPr>
      </w:pPr>
      <w:r>
        <w:rPr>
          <w:b/>
        </w:rPr>
        <w:t>NORMATIVIDAD DISTRITAL</w:t>
      </w:r>
    </w:p>
    <w:p w:rsidR="00C823F0" w:rsidRDefault="00C823F0">
      <w:pPr>
        <w:pBdr>
          <w:top w:val="nil"/>
          <w:left w:val="nil"/>
          <w:bottom w:val="nil"/>
          <w:right w:val="nil"/>
          <w:between w:val="nil"/>
        </w:pBdr>
        <w:spacing w:line="480" w:lineRule="auto"/>
        <w:jc w:val="both"/>
        <w:rPr>
          <w:b/>
        </w:rPr>
      </w:pPr>
    </w:p>
    <w:p w:rsidR="00C823F0" w:rsidRDefault="00867828">
      <w:pPr>
        <w:pBdr>
          <w:top w:val="nil"/>
          <w:left w:val="nil"/>
          <w:bottom w:val="nil"/>
          <w:right w:val="nil"/>
          <w:between w:val="nil"/>
        </w:pBdr>
        <w:spacing w:line="480" w:lineRule="auto"/>
        <w:jc w:val="both"/>
        <w:rPr>
          <w:highlight w:val="white"/>
        </w:rPr>
      </w:pPr>
      <w:r>
        <w:rPr>
          <w:b/>
          <w:highlight w:val="white"/>
        </w:rPr>
        <w:t xml:space="preserve">Decreto 606 DE 2001: </w:t>
      </w:r>
      <w:r>
        <w:rPr>
          <w:highlight w:val="white"/>
        </w:rPr>
        <w:t>“</w:t>
      </w:r>
      <w:r>
        <w:rPr>
          <w:i/>
          <w:highlight w:val="white"/>
        </w:rPr>
        <w:t xml:space="preserve">Por medio del cual se adopta el inventario de algunos Bienes de Interés Cultural, se define la reglamentación de los mismos y se dictan otras disposiciones”. </w:t>
      </w:r>
      <w:r>
        <w:rPr>
          <w:highlight w:val="white"/>
        </w:rPr>
        <w:t xml:space="preserve">Declaratoria de la Plaza de toros la Santamaría como Bien de Interés Cultural del ámbito Distrital. </w:t>
      </w:r>
    </w:p>
    <w:p w:rsidR="00C823F0" w:rsidRDefault="002841CC">
      <w:pPr>
        <w:pBdr>
          <w:top w:val="nil"/>
          <w:left w:val="nil"/>
          <w:bottom w:val="nil"/>
          <w:right w:val="nil"/>
          <w:between w:val="nil"/>
        </w:pBdr>
        <w:spacing w:line="480" w:lineRule="auto"/>
        <w:jc w:val="both"/>
        <w:rPr>
          <w:b/>
          <w:highlight w:val="white"/>
        </w:rPr>
      </w:pPr>
      <w:hyperlink r:id="rId31" w:anchor="30">
        <w:r w:rsidR="00867828">
          <w:rPr>
            <w:b/>
            <w:color w:val="23527C"/>
            <w:sz w:val="21"/>
            <w:szCs w:val="21"/>
            <w:highlight w:val="white"/>
            <w:u w:val="single"/>
          </w:rPr>
          <w:t>Derogado por el art. 30, Decreto Distrital 560 de 2018</w:t>
        </w:r>
      </w:hyperlink>
      <w:r w:rsidR="00867828">
        <w:rPr>
          <w:b/>
          <w:color w:val="333333"/>
          <w:sz w:val="21"/>
          <w:szCs w:val="21"/>
          <w:highlight w:val="white"/>
        </w:rPr>
        <w:t>.</w:t>
      </w:r>
    </w:p>
    <w:p w:rsidR="00C823F0" w:rsidRDefault="00C823F0">
      <w:pPr>
        <w:pBdr>
          <w:top w:val="nil"/>
          <w:left w:val="nil"/>
          <w:bottom w:val="nil"/>
          <w:right w:val="nil"/>
          <w:between w:val="nil"/>
        </w:pBdr>
        <w:spacing w:line="480" w:lineRule="auto"/>
        <w:jc w:val="both"/>
        <w:rPr>
          <w:b/>
          <w:highlight w:val="white"/>
        </w:rPr>
      </w:pPr>
    </w:p>
    <w:p w:rsidR="00C823F0" w:rsidRDefault="00C823F0">
      <w:pPr>
        <w:pBdr>
          <w:top w:val="nil"/>
          <w:left w:val="nil"/>
          <w:bottom w:val="nil"/>
          <w:right w:val="nil"/>
          <w:between w:val="nil"/>
        </w:pBdr>
        <w:spacing w:line="480" w:lineRule="auto"/>
        <w:jc w:val="both"/>
        <w:rPr>
          <w:b/>
          <w:highlight w:val="white"/>
        </w:rPr>
      </w:pPr>
    </w:p>
    <w:p w:rsidR="00C823F0" w:rsidRDefault="00867828">
      <w:pPr>
        <w:pBdr>
          <w:top w:val="nil"/>
          <w:left w:val="nil"/>
          <w:bottom w:val="nil"/>
          <w:right w:val="nil"/>
          <w:between w:val="nil"/>
        </w:pBdr>
        <w:spacing w:line="480" w:lineRule="auto"/>
        <w:jc w:val="both"/>
        <w:rPr>
          <w:i/>
        </w:rPr>
      </w:pPr>
      <w:r>
        <w:rPr>
          <w:b/>
        </w:rPr>
        <w:t xml:space="preserve">Acuerdo Distrital 927 de 2024: </w:t>
      </w:r>
      <w:r>
        <w:t>“</w:t>
      </w:r>
      <w:r>
        <w:rPr>
          <w:i/>
        </w:rPr>
        <w:t>Por medio del cual se adopta el Plan de Desarrollo Económico, Social, Ambiental y de Obras Públicas del Distrito Capital 2024-2027 “Bogotá Camina Segura”</w:t>
      </w:r>
    </w:p>
    <w:p w:rsidR="00C823F0" w:rsidRDefault="00C823F0">
      <w:pPr>
        <w:spacing w:line="480" w:lineRule="auto"/>
        <w:ind w:left="720"/>
        <w:jc w:val="both"/>
      </w:pPr>
    </w:p>
    <w:p w:rsidR="00C823F0" w:rsidRDefault="00867828">
      <w:pPr>
        <w:spacing w:line="480" w:lineRule="auto"/>
        <w:ind w:left="720"/>
        <w:jc w:val="both"/>
        <w:rPr>
          <w:b/>
        </w:rPr>
      </w:pPr>
      <w:r>
        <w:rPr>
          <w:b/>
        </w:rPr>
        <w:t>ARTÍCULO 8°. Programas del objetivo estratégico “Bogotá avanza en seguridad. 8.5. Programa 5. Espacio público seguro e inclusivo.</w:t>
      </w:r>
    </w:p>
    <w:p w:rsidR="00C823F0" w:rsidRDefault="00867828">
      <w:pPr>
        <w:spacing w:line="480" w:lineRule="auto"/>
        <w:ind w:firstLine="709"/>
        <w:jc w:val="both"/>
        <w:rPr>
          <w:i/>
        </w:rPr>
      </w:pPr>
      <w:r>
        <w:rPr>
          <w:i/>
        </w:rPr>
        <w:t>[...]</w:t>
      </w:r>
    </w:p>
    <w:p w:rsidR="00C823F0" w:rsidRDefault="00867828">
      <w:pPr>
        <w:spacing w:line="480" w:lineRule="auto"/>
        <w:ind w:left="709"/>
        <w:jc w:val="both"/>
        <w:rPr>
          <w:highlight w:val="white"/>
        </w:rPr>
      </w:pPr>
      <w:r>
        <w:t>La</w:t>
      </w:r>
      <w:r>
        <w:rPr>
          <w:highlight w:val="white"/>
        </w:rPr>
        <w:t xml:space="preserve"> Administración distrital desarrollará acciones para la eficaz defensa del espacio público, la óptima administración del patrimonio inmobiliario de la ciudad”</w:t>
      </w:r>
    </w:p>
    <w:p w:rsidR="00C823F0" w:rsidRDefault="00C823F0">
      <w:pPr>
        <w:spacing w:line="480" w:lineRule="auto"/>
        <w:ind w:left="709"/>
        <w:jc w:val="both"/>
        <w:rPr>
          <w:highlight w:val="white"/>
        </w:rPr>
      </w:pPr>
    </w:p>
    <w:p w:rsidR="00C823F0" w:rsidRDefault="00867828">
      <w:pPr>
        <w:spacing w:line="480" w:lineRule="auto"/>
        <w:ind w:left="709"/>
        <w:jc w:val="both"/>
        <w:rPr>
          <w:b/>
          <w:highlight w:val="white"/>
        </w:rPr>
      </w:pPr>
      <w:r>
        <w:rPr>
          <w:b/>
          <w:highlight w:val="white"/>
        </w:rPr>
        <w:t xml:space="preserve">ARTÍCULO 10°. Programas del objetivo estratégico “Bogotá confía en su Bien-Estar. </w:t>
      </w:r>
    </w:p>
    <w:p w:rsidR="00C823F0" w:rsidRDefault="00867828">
      <w:pPr>
        <w:spacing w:line="480" w:lineRule="auto"/>
        <w:ind w:left="709"/>
        <w:jc w:val="both"/>
        <w:rPr>
          <w:b/>
        </w:rPr>
      </w:pPr>
      <w:r>
        <w:rPr>
          <w:b/>
        </w:rPr>
        <w:t>10.8. Programa 14. Bogotá deportiva, recreativa, artística, patrimonial e intercultural.</w:t>
      </w:r>
    </w:p>
    <w:p w:rsidR="00C823F0" w:rsidRDefault="00867828">
      <w:pPr>
        <w:spacing w:line="480" w:lineRule="auto"/>
        <w:ind w:firstLine="709"/>
        <w:jc w:val="both"/>
        <w:rPr>
          <w:i/>
        </w:rPr>
      </w:pPr>
      <w:r>
        <w:rPr>
          <w:i/>
        </w:rPr>
        <w:t>[...]</w:t>
      </w:r>
    </w:p>
    <w:p w:rsidR="00C823F0" w:rsidRDefault="00867828">
      <w:pPr>
        <w:spacing w:line="480" w:lineRule="auto"/>
        <w:ind w:left="709"/>
        <w:jc w:val="both"/>
        <w:rPr>
          <w:highlight w:val="white"/>
        </w:rPr>
      </w:pPr>
      <w:r>
        <w:rPr>
          <w:highlight w:val="white"/>
        </w:rPr>
        <w:t xml:space="preserve">El programa también impulsará la creación de un inventario y clasificación de sitios de práctica de arte, cultura y patrimonio (sean bienes, lugares, </w:t>
      </w:r>
      <w:r>
        <w:rPr>
          <w:highlight w:val="white"/>
        </w:rPr>
        <w:lastRenderedPageBreak/>
        <w:t>corredores, procesos, referentes, etc.) para que sean cuidados, priorizados y prevalezcan en el tiempo, promoviendo el aseguramiento funcional y salvaguarda de espacios locales que, aunque no son protegidos, pueden serlo en el futuro y que pueden estar en situación de riesgo por diferentes factores”.</w:t>
      </w:r>
    </w:p>
    <w:p w:rsidR="00C823F0" w:rsidRDefault="00C823F0">
      <w:pPr>
        <w:spacing w:line="480" w:lineRule="auto"/>
        <w:ind w:left="709"/>
        <w:jc w:val="both"/>
        <w:rPr>
          <w:highlight w:val="white"/>
        </w:rPr>
      </w:pPr>
    </w:p>
    <w:p w:rsidR="00C823F0" w:rsidRDefault="00867828">
      <w:pPr>
        <w:spacing w:line="480" w:lineRule="auto"/>
        <w:ind w:left="709"/>
        <w:jc w:val="both"/>
        <w:rPr>
          <w:b/>
          <w:highlight w:val="white"/>
        </w:rPr>
      </w:pPr>
      <w:r>
        <w:rPr>
          <w:b/>
          <w:highlight w:val="white"/>
        </w:rPr>
        <w:t>ARTÍCULO</w:t>
      </w:r>
      <w:r>
        <w:rPr>
          <w:b/>
          <w:sz w:val="20"/>
          <w:szCs w:val="20"/>
          <w:highlight w:val="white"/>
        </w:rPr>
        <w:t> </w:t>
      </w:r>
      <w:r>
        <w:rPr>
          <w:b/>
          <w:highlight w:val="white"/>
        </w:rPr>
        <w:t>12°. Programas del objetivo estratégico “Bogotá confía en su potencial.</w:t>
      </w:r>
    </w:p>
    <w:p w:rsidR="00C823F0" w:rsidRDefault="00867828">
      <w:pPr>
        <w:spacing w:line="480" w:lineRule="auto"/>
        <w:ind w:left="709"/>
        <w:jc w:val="both"/>
        <w:rPr>
          <w:b/>
          <w:highlight w:val="white"/>
        </w:rPr>
      </w:pPr>
      <w:r>
        <w:rPr>
          <w:b/>
          <w:highlight w:val="white"/>
        </w:rPr>
        <w:t>12.4. Programa 19. Desarrollo empresarial, productividad y empleo.</w:t>
      </w:r>
    </w:p>
    <w:p w:rsidR="00C823F0" w:rsidRDefault="00867828">
      <w:pPr>
        <w:spacing w:line="480" w:lineRule="auto"/>
        <w:ind w:firstLine="709"/>
        <w:jc w:val="both"/>
        <w:rPr>
          <w:i/>
        </w:rPr>
      </w:pPr>
      <w:r>
        <w:rPr>
          <w:i/>
        </w:rPr>
        <w:t>[...]</w:t>
      </w:r>
    </w:p>
    <w:p w:rsidR="00C823F0" w:rsidRDefault="00867828">
      <w:pPr>
        <w:spacing w:line="480" w:lineRule="auto"/>
        <w:ind w:left="709"/>
        <w:jc w:val="both"/>
        <w:rPr>
          <w:highlight w:val="white"/>
        </w:rPr>
      </w:pPr>
      <w:r>
        <w:rPr>
          <w:highlight w:val="white"/>
        </w:rPr>
        <w:t xml:space="preserve">El programa buscará posicionar a Bogotá como un destino turístico, religioso, cultural, recreo-deportivo y de grandes eventos, destacado a nivel nacional e internacional. Para ello se apoyarán, financiarán y fortalecerán las iniciativas que han venido teniendo lugar en materia turística y deportiva. Como iniciativa, se pretende crear la red distrital de miradores comunitarios, donde pueda ser aprovechada la geografía y la altimetría de la ciudad, donde se combinen la riqueza artística, cultural y gastronómica. Además, se propone la creación de una ruta turística como una iniciativa innovadora para </w:t>
      </w:r>
      <w:r>
        <w:rPr>
          <w:highlight w:val="white"/>
        </w:rPr>
        <w:lastRenderedPageBreak/>
        <w:t>diversificar la oferta turística y brindar a los visitantes experiencias culturales y gastronómicas en la ciudad”.</w:t>
      </w:r>
    </w:p>
    <w:p w:rsidR="00C823F0" w:rsidRDefault="00C823F0">
      <w:pPr>
        <w:spacing w:line="480" w:lineRule="auto"/>
        <w:ind w:left="709"/>
        <w:jc w:val="both"/>
        <w:rPr>
          <w:highlight w:val="white"/>
        </w:rPr>
      </w:pPr>
    </w:p>
    <w:p w:rsidR="00C823F0" w:rsidRDefault="00867828">
      <w:pPr>
        <w:spacing w:line="480" w:lineRule="auto"/>
        <w:ind w:left="709"/>
        <w:jc w:val="both"/>
      </w:pPr>
      <w:r>
        <w:rPr>
          <w:b/>
          <w:highlight w:val="white"/>
        </w:rPr>
        <w:t>ARTÍCULO</w:t>
      </w:r>
      <w:r>
        <w:rPr>
          <w:sz w:val="20"/>
          <w:szCs w:val="20"/>
          <w:highlight w:val="white"/>
        </w:rPr>
        <w:t> </w:t>
      </w:r>
      <w:r>
        <w:rPr>
          <w:b/>
          <w:highlight w:val="white"/>
        </w:rPr>
        <w:t>14°. Programas del Objetivo Estratégico “Bogotá ordena su territorio y avanza en su acción climática</w:t>
      </w:r>
      <w:r>
        <w:t xml:space="preserve">. </w:t>
      </w:r>
    </w:p>
    <w:p w:rsidR="00C823F0" w:rsidRDefault="00867828">
      <w:pPr>
        <w:spacing w:line="480" w:lineRule="auto"/>
        <w:ind w:left="709"/>
        <w:jc w:val="both"/>
      </w:pPr>
      <w:r>
        <w:rPr>
          <w:b/>
        </w:rPr>
        <w:t>14.2. Programa 24. Revitalización y renovación urbana y rural con inclusión.</w:t>
      </w:r>
    </w:p>
    <w:p w:rsidR="00C823F0" w:rsidRDefault="00867828">
      <w:pPr>
        <w:spacing w:line="480" w:lineRule="auto"/>
        <w:ind w:firstLine="709"/>
        <w:jc w:val="both"/>
        <w:rPr>
          <w:i/>
        </w:rPr>
      </w:pPr>
      <w:r>
        <w:rPr>
          <w:i/>
        </w:rPr>
        <w:t>[...]</w:t>
      </w:r>
    </w:p>
    <w:p w:rsidR="00C823F0" w:rsidRDefault="00867828">
      <w:pPr>
        <w:spacing w:line="480" w:lineRule="auto"/>
        <w:ind w:left="709"/>
        <w:jc w:val="both"/>
        <w:rPr>
          <w:color w:val="333333"/>
          <w:highlight w:val="white"/>
        </w:rPr>
      </w:pPr>
      <w:r>
        <w:rPr>
          <w:highlight w:val="white"/>
        </w:rPr>
        <w:t>Se priorizará la protección, conservación y sostenibilidad de los patrimonios de la ciudad mediante procesos de identificación, valoración y reconocimiento que fomenten la participación ciudadana en estos procesos, así como la implementación de instrumentos de gestión orientados a la preservación y sostenibilidad de los patrimonios que se encuentran en los territorios a través de interacciones sociales, culturales y ambientales”.</w:t>
      </w:r>
    </w:p>
    <w:p w:rsidR="00C823F0" w:rsidRDefault="00C823F0">
      <w:pPr>
        <w:spacing w:line="480" w:lineRule="auto"/>
        <w:ind w:left="709"/>
        <w:jc w:val="both"/>
        <w:rPr>
          <w:highlight w:val="white"/>
        </w:rPr>
      </w:pPr>
    </w:p>
    <w:p w:rsidR="00C823F0" w:rsidRDefault="00867828">
      <w:pPr>
        <w:spacing w:line="480" w:lineRule="auto"/>
        <w:ind w:left="709"/>
        <w:jc w:val="both"/>
        <w:rPr>
          <w:highlight w:val="white"/>
        </w:rPr>
      </w:pPr>
      <w:r>
        <w:rPr>
          <w:b/>
          <w:highlight w:val="white"/>
        </w:rPr>
        <w:t>ARTÍCULO</w:t>
      </w:r>
      <w:r>
        <w:rPr>
          <w:sz w:val="20"/>
          <w:szCs w:val="20"/>
          <w:highlight w:val="white"/>
        </w:rPr>
        <w:t> </w:t>
      </w:r>
      <w:r>
        <w:rPr>
          <w:b/>
          <w:highlight w:val="white"/>
        </w:rPr>
        <w:t>54°. Incorporación de los planes de acción de instrumentos asociados al patrimonio cultural. </w:t>
      </w:r>
      <w:r>
        <w:rPr>
          <w:highlight w:val="white"/>
        </w:rPr>
        <w:t xml:space="preserve">Las entidades distritales deberán priorizar en sus proyectos, metas y recursos, los planes de acción de los Planes Especiales de Manejo y Protección de bienes de interés cultural del </w:t>
      </w:r>
      <w:r>
        <w:rPr>
          <w:highlight w:val="white"/>
        </w:rPr>
        <w:lastRenderedPageBreak/>
        <w:t>grupo urbano, nacionales y distritales, expedidos o que se expidan en el ámbito del Distrito Capital.</w:t>
      </w:r>
    </w:p>
    <w:p w:rsidR="00C823F0" w:rsidRDefault="00C823F0">
      <w:pPr>
        <w:spacing w:line="480" w:lineRule="auto"/>
        <w:ind w:left="709"/>
        <w:jc w:val="both"/>
        <w:rPr>
          <w:highlight w:val="white"/>
        </w:rPr>
      </w:pPr>
    </w:p>
    <w:p w:rsidR="00C823F0" w:rsidRDefault="00867828">
      <w:pPr>
        <w:spacing w:line="480" w:lineRule="auto"/>
        <w:ind w:left="709"/>
        <w:jc w:val="both"/>
        <w:rPr>
          <w:highlight w:val="white"/>
        </w:rPr>
      </w:pPr>
      <w:r>
        <w:rPr>
          <w:b/>
          <w:highlight w:val="white"/>
        </w:rPr>
        <w:t>ARTÍCULO</w:t>
      </w:r>
      <w:r>
        <w:rPr>
          <w:sz w:val="20"/>
          <w:szCs w:val="20"/>
          <w:highlight w:val="white"/>
        </w:rPr>
        <w:t> </w:t>
      </w:r>
      <w:r>
        <w:rPr>
          <w:b/>
          <w:highlight w:val="white"/>
        </w:rPr>
        <w:t>55°. Coordinación distrital para la promoción y fomento de las actividades artísticas, culturales, recreativas, deportivas y religiosas en el Distrito Capital. </w:t>
      </w:r>
      <w:r>
        <w:rPr>
          <w:highlight w:val="white"/>
        </w:rPr>
        <w:t> La Secretaría Distrital de Cultura y de Gobierno, en el marco de sus competencias, coordinarán con las entidades que participan en la regulación y/o autorización de los espectáculos públicos artísticos, culturales, recreativos, deportivos y religiosos, definirán e implementarán una estrategia que conduzca a la articulación efectiva institucional e intersectorial para promover, facilitar y fomentar la realización de este tipo de eventos en el Distrito Capital.</w:t>
      </w:r>
    </w:p>
    <w:p w:rsidR="00C823F0" w:rsidRDefault="00867828">
      <w:pPr>
        <w:spacing w:line="480" w:lineRule="auto"/>
        <w:ind w:left="709"/>
        <w:jc w:val="both"/>
      </w:pPr>
      <w:r>
        <w:rPr>
          <w:highlight w:val="white"/>
        </w:rPr>
        <w:t> </w:t>
      </w:r>
    </w:p>
    <w:p w:rsidR="00C823F0" w:rsidRDefault="00867828">
      <w:pPr>
        <w:spacing w:line="480" w:lineRule="auto"/>
        <w:ind w:left="720"/>
        <w:jc w:val="both"/>
        <w:rPr>
          <w:highlight w:val="white"/>
        </w:rPr>
      </w:pPr>
      <w:r>
        <w:rPr>
          <w:b/>
          <w:highlight w:val="white"/>
        </w:rPr>
        <w:t xml:space="preserve">RESOLUCIÓN No. 266 DE 2025 de la Secretaría Distrital de Cultura, Recreación y Deporte. “Por medio de la cual se ordena la apertura de la Invitación Cultural: Dirección Artística para Obras Multidisciplinares - Navidad 2025”. </w:t>
      </w:r>
      <w:r>
        <w:rPr>
          <w:highlight w:val="white"/>
        </w:rPr>
        <w:t>A realizarse en la Plaza La Santamaría y el Parque Metropolitano El Tunal.</w:t>
      </w:r>
    </w:p>
    <w:p w:rsidR="00C823F0" w:rsidRDefault="00C823F0">
      <w:pPr>
        <w:spacing w:line="480" w:lineRule="auto"/>
        <w:ind w:left="720"/>
        <w:jc w:val="both"/>
        <w:rPr>
          <w:b/>
          <w:highlight w:val="white"/>
        </w:rPr>
      </w:pPr>
    </w:p>
    <w:p w:rsidR="00C823F0" w:rsidRDefault="00867828">
      <w:pPr>
        <w:spacing w:line="480" w:lineRule="auto"/>
        <w:ind w:left="720"/>
        <w:jc w:val="both"/>
        <w:rPr>
          <w:highlight w:val="white"/>
        </w:rPr>
      </w:pPr>
      <w:r>
        <w:rPr>
          <w:b/>
          <w:highlight w:val="white"/>
        </w:rPr>
        <w:lastRenderedPageBreak/>
        <w:t xml:space="preserve">RESOLUCIÓN No. 320 DE 2003 del Instituto Distrital de Recreación y Deporte - IDRD. </w:t>
      </w:r>
      <w:r>
        <w:rPr>
          <w:highlight w:val="white"/>
        </w:rPr>
        <w:t>"Por medio de la cual se modifica y adicionan las Resoluciones No. 492/99, 070/00, 0200/00,119/03 al delegarse la facultad de suscribir tales contratos en el Subdirector Técnico de Parques, igualmente se incluyen las figuras de la permuta, del canje y exoneración del aprovechamiento económico a entidades del orden distrital y nacional de los escenarios administrados por el Instituto Distrital para la Recreación y el Deporte", y se emiten otras disposiciones.</w:t>
      </w:r>
    </w:p>
    <w:p w:rsidR="00C823F0" w:rsidRDefault="00C823F0">
      <w:pPr>
        <w:spacing w:line="480" w:lineRule="auto"/>
        <w:jc w:val="both"/>
        <w:rPr>
          <w:b/>
          <w:highlight w:val="white"/>
        </w:rPr>
      </w:pPr>
    </w:p>
    <w:p w:rsidR="00C823F0" w:rsidRDefault="00867828">
      <w:pPr>
        <w:shd w:val="clear" w:color="auto" w:fill="FFFFFF"/>
        <w:spacing w:line="480" w:lineRule="auto"/>
        <w:jc w:val="both"/>
        <w:rPr>
          <w:b/>
        </w:rPr>
      </w:pPr>
      <w:r>
        <w:rPr>
          <w:b/>
        </w:rPr>
        <w:t>Convención sobre la Protección del Patrimonio Mundial, Cultural y Natural de 1972</w:t>
      </w:r>
    </w:p>
    <w:p w:rsidR="00C823F0" w:rsidRDefault="00867828">
      <w:pPr>
        <w:shd w:val="clear" w:color="auto" w:fill="FFFFFF"/>
        <w:spacing w:line="480" w:lineRule="auto"/>
        <w:ind w:firstLine="720"/>
        <w:jc w:val="both"/>
        <w:rPr>
          <w:b/>
        </w:rPr>
      </w:pPr>
      <w:r>
        <w:rPr>
          <w:b/>
        </w:rPr>
        <w:t xml:space="preserve">ARTÍCULO 2°. </w:t>
      </w:r>
      <w:r>
        <w:t xml:space="preserve">A los efectos de la presente Convención se considerará "patrimonio cultural":  - Los monumentos: obras arquitectónicas, de escultura o de pintura monumentales, elementos o estructuras de carácter arqueológico, inscripciones, cavernas y grupos de elementos, que tengan un valor universal excepcional desde el punto de vista de la historia, del arte o de la ciencia. - Los conjuntos: grupos de construcciones, aisladas o reunidas, cuya arquitectura, unidad e integración en el paisaje les dé un valor universal excepcional desde el punto de vista de la historia, del arte o de la ciencia. - Los lugares: obras del hombre u obras </w:t>
      </w:r>
      <w:r>
        <w:lastRenderedPageBreak/>
        <w:t>conjuntas del hombre y la naturaleza así como las Zonas, incluidos los lugares arqueológicos que tengan un valor universal excepcional desde el punto de vista histórico, estético, etnológico o antropológico".</w:t>
      </w:r>
    </w:p>
    <w:p w:rsidR="00C823F0" w:rsidRDefault="00867828">
      <w:pPr>
        <w:spacing w:line="480" w:lineRule="auto"/>
        <w:jc w:val="both"/>
        <w:rPr>
          <w:b/>
          <w:color w:val="FF0000"/>
        </w:rPr>
      </w:pPr>
      <w:r>
        <w:rPr>
          <w:b/>
        </w:rPr>
        <w:t>Convención sobre los Derechos del Niño de 1989</w:t>
      </w:r>
    </w:p>
    <w:p w:rsidR="00C823F0" w:rsidRDefault="00867828">
      <w:pPr>
        <w:spacing w:line="480" w:lineRule="auto"/>
        <w:ind w:left="720"/>
        <w:jc w:val="both"/>
        <w:rPr>
          <w:b/>
          <w:color w:val="333333"/>
          <w:u w:val="single"/>
        </w:rPr>
      </w:pPr>
      <w:r>
        <w:rPr>
          <w:b/>
        </w:rPr>
        <w:t>ARTÍCULO 31°</w:t>
      </w:r>
      <w:r>
        <w:t>. Reconoce el derecho del niño a participar en la vida cultural y artística, así como, en actividades recreativas, de juego y esparcimiento. La transformación cultural de la Plaza La Santamaría hará que se cumpla con el derecho de los niños.</w:t>
      </w:r>
    </w:p>
    <w:p w:rsidR="00C823F0" w:rsidRDefault="00867828">
      <w:pPr>
        <w:spacing w:line="480" w:lineRule="auto"/>
        <w:jc w:val="both"/>
        <w:rPr>
          <w:b/>
        </w:rPr>
      </w:pPr>
      <w:r>
        <w:rPr>
          <w:b/>
        </w:rPr>
        <w:t>Convención para la Salvaguardia del Patrimonio Cultural Inmaterial de la UNESCO de 2003 (Ley 1037 de 2006)</w:t>
      </w:r>
    </w:p>
    <w:p w:rsidR="00C823F0" w:rsidRDefault="00867828">
      <w:pPr>
        <w:spacing w:line="480" w:lineRule="auto"/>
        <w:rPr>
          <w:b/>
        </w:rPr>
      </w:pPr>
      <w:r>
        <w:t>Considerando la importancia que reviste el patrimonio cultural inmaterial para la transformación cultural de la Plaza La Santamaría</w:t>
      </w:r>
      <w:r>
        <w:rPr>
          <w:b/>
        </w:rPr>
        <w:t xml:space="preserve">. </w:t>
      </w:r>
      <w:r>
        <w:t xml:space="preserve">Esta convención, reconoce y establece las obligaciones de los Estados Partes, para identificar, proteger y preservar el patrimonio cultural inmaterial, que incluye prácticas, representaciones, expresiones, conocimientos y habilidades de las comunidades. </w:t>
      </w:r>
    </w:p>
    <w:p w:rsidR="00C823F0" w:rsidRDefault="00C823F0">
      <w:pPr>
        <w:spacing w:line="480" w:lineRule="auto"/>
        <w:jc w:val="both"/>
        <w:rPr>
          <w:b/>
        </w:rPr>
      </w:pPr>
    </w:p>
    <w:p w:rsidR="00C823F0" w:rsidRDefault="00867828">
      <w:pPr>
        <w:spacing w:line="480" w:lineRule="auto"/>
        <w:jc w:val="both"/>
      </w:pPr>
      <w:r>
        <w:rPr>
          <w:b/>
        </w:rPr>
        <w:t>Convención de la UNESCO sobre la Protección y la Promoción de la Diversidad de las Expresiones Culturales de 2005 (</w:t>
      </w:r>
      <w:r>
        <w:rPr>
          <w:b/>
          <w:sz w:val="25"/>
          <w:szCs w:val="25"/>
          <w:highlight w:val="white"/>
        </w:rPr>
        <w:t>Ley 1516 de 2012)</w:t>
      </w:r>
    </w:p>
    <w:p w:rsidR="00C823F0" w:rsidRDefault="00C823F0">
      <w:pPr>
        <w:spacing w:line="480" w:lineRule="auto"/>
        <w:jc w:val="both"/>
      </w:pPr>
    </w:p>
    <w:p w:rsidR="00C823F0" w:rsidRDefault="00867828">
      <w:pPr>
        <w:spacing w:line="480" w:lineRule="auto"/>
        <w:jc w:val="both"/>
      </w:pPr>
      <w:r>
        <w:lastRenderedPageBreak/>
        <w:t>Esta convención, proporciona un marco para la protección y promoción de la diversidad cultural, que incluye principios y medidas, para propiciar las actividades propuestas en el presente Proyecto de Acuerdo con el fin de potenciar la transformación de la Plaza La Santamaría.</w:t>
      </w:r>
    </w:p>
    <w:p w:rsidR="00C823F0" w:rsidRDefault="00C823F0">
      <w:pPr>
        <w:spacing w:line="480" w:lineRule="auto"/>
        <w:jc w:val="both"/>
        <w:rPr>
          <w:color w:val="76923C"/>
        </w:rPr>
      </w:pPr>
    </w:p>
    <w:p w:rsidR="00C823F0" w:rsidRDefault="00867828">
      <w:pPr>
        <w:pStyle w:val="Ttulo1"/>
        <w:spacing w:line="480" w:lineRule="auto"/>
        <w:rPr>
          <w:rFonts w:ascii="Arial" w:hAnsi="Arial"/>
          <w:b/>
        </w:rPr>
      </w:pPr>
      <w:r>
        <w:rPr>
          <w:rFonts w:ascii="Arial" w:hAnsi="Arial"/>
          <w:b/>
        </w:rPr>
        <w:t>5. COMPETENCIA DEL CONCEJO DE BOGOTÁ D.C.</w:t>
      </w:r>
    </w:p>
    <w:p w:rsidR="00C823F0" w:rsidRDefault="00C823F0">
      <w:pPr>
        <w:spacing w:line="480" w:lineRule="auto"/>
      </w:pPr>
    </w:p>
    <w:p w:rsidR="00C823F0" w:rsidRDefault="00867828">
      <w:pPr>
        <w:spacing w:line="480" w:lineRule="auto"/>
        <w:jc w:val="both"/>
      </w:pPr>
      <w:r>
        <w:t xml:space="preserve">El Concejo de Bogotá D.C. tiene la competencia para dictar normas relacionadas con la naturaleza y el alcance del presente Proyecto de Acuerdo, según las disposiciones constitucionales y legales vigentes. En primer lugar, el </w:t>
      </w:r>
      <w:r>
        <w:rPr>
          <w:i/>
        </w:rPr>
        <w:t>artículo 313 de la Constitución Política de Colombia</w:t>
      </w:r>
      <w:r>
        <w:t xml:space="preserve"> establece que:</w:t>
      </w:r>
    </w:p>
    <w:p w:rsidR="00C823F0" w:rsidRDefault="00C823F0">
      <w:pPr>
        <w:spacing w:line="480" w:lineRule="auto"/>
        <w:jc w:val="both"/>
      </w:pPr>
    </w:p>
    <w:p w:rsidR="00C823F0" w:rsidRDefault="00C823F0">
      <w:pPr>
        <w:spacing w:line="480" w:lineRule="auto"/>
        <w:jc w:val="both"/>
      </w:pPr>
    </w:p>
    <w:p w:rsidR="00C823F0" w:rsidRDefault="00867828">
      <w:pPr>
        <w:spacing w:line="480" w:lineRule="auto"/>
        <w:jc w:val="both"/>
        <w:rPr>
          <w:b/>
          <w:i/>
        </w:rPr>
      </w:pPr>
      <w:r>
        <w:rPr>
          <w:b/>
        </w:rPr>
        <w:t>“</w:t>
      </w:r>
      <w:r>
        <w:rPr>
          <w:b/>
          <w:i/>
        </w:rPr>
        <w:t>ARTÍCULO 313. Corresponde a los Concejos:</w:t>
      </w:r>
    </w:p>
    <w:p w:rsidR="00C823F0" w:rsidRDefault="00C823F0">
      <w:pPr>
        <w:spacing w:line="480" w:lineRule="auto"/>
        <w:ind w:left="566"/>
        <w:jc w:val="both"/>
        <w:rPr>
          <w:b/>
          <w:i/>
        </w:rPr>
      </w:pPr>
    </w:p>
    <w:p w:rsidR="00C823F0" w:rsidRDefault="00867828">
      <w:pPr>
        <w:spacing w:line="480" w:lineRule="auto"/>
        <w:ind w:left="566"/>
        <w:jc w:val="both"/>
        <w:rPr>
          <w:i/>
        </w:rPr>
      </w:pPr>
      <w:r>
        <w:rPr>
          <w:i/>
        </w:rPr>
        <w:t>1. Reglamentar las funciones y la eficiente prestación de los servicios a cargo del municipio.</w:t>
      </w:r>
    </w:p>
    <w:p w:rsidR="00C823F0" w:rsidRDefault="00867828">
      <w:pPr>
        <w:spacing w:line="480" w:lineRule="auto"/>
        <w:ind w:left="566"/>
        <w:jc w:val="both"/>
        <w:rPr>
          <w:i/>
        </w:rPr>
      </w:pPr>
      <w:r>
        <w:rPr>
          <w:i/>
        </w:rPr>
        <w:t>[...]</w:t>
      </w:r>
    </w:p>
    <w:p w:rsidR="00C823F0" w:rsidRDefault="00867828">
      <w:pPr>
        <w:spacing w:line="480" w:lineRule="auto"/>
        <w:ind w:left="566"/>
        <w:jc w:val="both"/>
      </w:pPr>
      <w:r>
        <w:rPr>
          <w:i/>
        </w:rPr>
        <w:lastRenderedPageBreak/>
        <w:t>9. Dictar las normas necesarias para el control, la preservación y defensa del patrimonio ecológico y cultural del municipio</w:t>
      </w:r>
      <w:r>
        <w:t>”.</w:t>
      </w:r>
    </w:p>
    <w:p w:rsidR="00C823F0" w:rsidRDefault="00C823F0">
      <w:pPr>
        <w:spacing w:line="480" w:lineRule="auto"/>
        <w:ind w:left="566"/>
        <w:jc w:val="both"/>
        <w:rPr>
          <w:rFonts w:ascii="Times New Roman" w:eastAsia="Times New Roman" w:hAnsi="Times New Roman" w:cs="Times New Roman"/>
        </w:rPr>
      </w:pPr>
    </w:p>
    <w:p w:rsidR="00C823F0" w:rsidRDefault="00867828">
      <w:pPr>
        <w:spacing w:line="480" w:lineRule="auto"/>
        <w:jc w:val="both"/>
        <w:rPr>
          <w:b/>
          <w:highlight w:val="white"/>
        </w:rPr>
      </w:pPr>
      <w:r>
        <w:rPr>
          <w:highlight w:val="white"/>
        </w:rPr>
        <w:t>Adicionalmente, el Decreto Ley 1421 de 1993.</w:t>
      </w:r>
      <w:r>
        <w:rPr>
          <w:b/>
          <w:highlight w:val="white"/>
        </w:rPr>
        <w:t xml:space="preserve"> </w:t>
      </w:r>
      <w:r>
        <w:rPr>
          <w:i/>
        </w:rPr>
        <w:t xml:space="preserve">“Por el cual se dicta el régimen especial para el Distrito Capital de Santafé de Bogotá” </w:t>
      </w:r>
      <w:r>
        <w:t>establece que:</w:t>
      </w:r>
    </w:p>
    <w:p w:rsidR="00C823F0" w:rsidRDefault="00C823F0">
      <w:pPr>
        <w:pBdr>
          <w:top w:val="nil"/>
          <w:left w:val="nil"/>
          <w:bottom w:val="nil"/>
          <w:right w:val="nil"/>
          <w:between w:val="nil"/>
        </w:pBdr>
        <w:spacing w:line="480" w:lineRule="auto"/>
        <w:ind w:left="720"/>
        <w:jc w:val="both"/>
        <w:rPr>
          <w:b/>
          <w:i/>
        </w:rPr>
      </w:pPr>
    </w:p>
    <w:p w:rsidR="00C823F0" w:rsidRDefault="00867828">
      <w:pPr>
        <w:pBdr>
          <w:top w:val="nil"/>
          <w:left w:val="nil"/>
          <w:bottom w:val="nil"/>
          <w:right w:val="nil"/>
          <w:between w:val="nil"/>
        </w:pBdr>
        <w:spacing w:line="480" w:lineRule="auto"/>
        <w:ind w:left="720"/>
        <w:jc w:val="both"/>
        <w:rPr>
          <w:i/>
        </w:rPr>
      </w:pPr>
      <w:r>
        <w:rPr>
          <w:b/>
          <w:i/>
        </w:rPr>
        <w:t xml:space="preserve">“ARTÍCULO 12 - Atribuciones. </w:t>
      </w:r>
      <w:r>
        <w:rPr>
          <w:i/>
        </w:rPr>
        <w:t>Corresponde al Concejo Distrital, de conformidad con la Constitución y a la ley:</w:t>
      </w:r>
    </w:p>
    <w:p w:rsidR="00C823F0" w:rsidRDefault="00C823F0">
      <w:pPr>
        <w:pBdr>
          <w:top w:val="nil"/>
          <w:left w:val="nil"/>
          <w:bottom w:val="nil"/>
          <w:right w:val="nil"/>
          <w:between w:val="nil"/>
        </w:pBdr>
        <w:spacing w:line="480" w:lineRule="auto"/>
        <w:ind w:left="720"/>
        <w:jc w:val="both"/>
        <w:rPr>
          <w:i/>
        </w:rPr>
      </w:pPr>
    </w:p>
    <w:p w:rsidR="00C823F0" w:rsidRDefault="00867828">
      <w:pPr>
        <w:numPr>
          <w:ilvl w:val="0"/>
          <w:numId w:val="2"/>
        </w:numPr>
        <w:pBdr>
          <w:top w:val="nil"/>
          <w:left w:val="nil"/>
          <w:bottom w:val="nil"/>
          <w:right w:val="nil"/>
          <w:between w:val="nil"/>
        </w:pBdr>
        <w:spacing w:line="480" w:lineRule="auto"/>
        <w:jc w:val="both"/>
        <w:rPr>
          <w:i/>
        </w:rPr>
      </w:pPr>
      <w:r>
        <w:rPr>
          <w:i/>
        </w:rPr>
        <w:t>Dictar las normas necesarias para garantizar el adecuado cumplimiento de las funciones y la eficiente prestación de los servicios a cargo del Distrito.</w:t>
      </w:r>
    </w:p>
    <w:p w:rsidR="00C823F0" w:rsidRDefault="00867828">
      <w:pPr>
        <w:pBdr>
          <w:top w:val="nil"/>
          <w:left w:val="nil"/>
          <w:bottom w:val="nil"/>
          <w:right w:val="nil"/>
          <w:between w:val="nil"/>
        </w:pBdr>
        <w:spacing w:line="480" w:lineRule="auto"/>
        <w:ind w:left="1080"/>
        <w:jc w:val="both"/>
        <w:rPr>
          <w:i/>
        </w:rPr>
      </w:pPr>
      <w:r>
        <w:rPr>
          <w:i/>
        </w:rPr>
        <w:t>[...]</w:t>
      </w:r>
    </w:p>
    <w:p w:rsidR="00C823F0" w:rsidRDefault="00867828">
      <w:pPr>
        <w:spacing w:line="480" w:lineRule="auto"/>
        <w:ind w:left="720"/>
        <w:jc w:val="both"/>
        <w:rPr>
          <w:i/>
        </w:rPr>
      </w:pPr>
      <w:r>
        <w:rPr>
          <w:i/>
        </w:rPr>
        <w:t>13. Regular la preservación y defensa del patrimonio cultural.</w:t>
      </w:r>
    </w:p>
    <w:p w:rsidR="00C823F0" w:rsidRDefault="00867828">
      <w:pPr>
        <w:pBdr>
          <w:top w:val="nil"/>
          <w:left w:val="nil"/>
          <w:bottom w:val="nil"/>
          <w:right w:val="nil"/>
          <w:between w:val="nil"/>
        </w:pBdr>
        <w:spacing w:line="480" w:lineRule="auto"/>
        <w:ind w:left="720"/>
        <w:jc w:val="both"/>
        <w:rPr>
          <w:i/>
        </w:rPr>
      </w:pPr>
      <w:r>
        <w:rPr>
          <w:i/>
        </w:rPr>
        <w:t>25. Cumplir las demás funciones que le asignen las disposiciones vigentes.”</w:t>
      </w:r>
    </w:p>
    <w:p w:rsidR="00C823F0" w:rsidRDefault="00C823F0">
      <w:pPr>
        <w:pBdr>
          <w:top w:val="nil"/>
          <w:left w:val="nil"/>
          <w:bottom w:val="nil"/>
          <w:right w:val="nil"/>
          <w:between w:val="nil"/>
        </w:pBdr>
      </w:pPr>
    </w:p>
    <w:p w:rsidR="00C823F0" w:rsidRDefault="00C823F0">
      <w:pPr>
        <w:jc w:val="both"/>
        <w:rPr>
          <w:b/>
        </w:rPr>
      </w:pPr>
    </w:p>
    <w:p w:rsidR="00C823F0" w:rsidRDefault="00867828">
      <w:pPr>
        <w:pBdr>
          <w:top w:val="nil"/>
          <w:left w:val="nil"/>
          <w:bottom w:val="nil"/>
          <w:right w:val="nil"/>
          <w:between w:val="nil"/>
        </w:pBdr>
        <w:rPr>
          <w:b/>
        </w:rPr>
      </w:pPr>
      <w:r>
        <w:rPr>
          <w:b/>
        </w:rPr>
        <w:t>6. IMPACTO FISCAL</w:t>
      </w:r>
    </w:p>
    <w:p w:rsidR="00C823F0" w:rsidRDefault="00C823F0">
      <w:pPr>
        <w:pBdr>
          <w:top w:val="nil"/>
          <w:left w:val="nil"/>
          <w:bottom w:val="nil"/>
          <w:right w:val="nil"/>
          <w:between w:val="nil"/>
        </w:pBdr>
        <w:ind w:left="360"/>
        <w:rPr>
          <w:b/>
        </w:rPr>
      </w:pPr>
    </w:p>
    <w:p w:rsidR="00C823F0" w:rsidRDefault="00867828">
      <w:pPr>
        <w:pBdr>
          <w:top w:val="nil"/>
          <w:left w:val="nil"/>
          <w:bottom w:val="nil"/>
          <w:right w:val="nil"/>
          <w:between w:val="nil"/>
        </w:pBdr>
        <w:spacing w:line="480" w:lineRule="auto"/>
        <w:ind w:left="360"/>
        <w:jc w:val="both"/>
      </w:pPr>
      <w:r>
        <w:t xml:space="preserve">De conformidad con el artículo 7 de la Ley 819 de 2003, el presente proyecto de acuerdo no tiene impacto fiscal dado que no afecta el Marco Fiscal de Mediano </w:t>
      </w:r>
      <w:r>
        <w:lastRenderedPageBreak/>
        <w:t>Plazo. Los gastos que se generan por la presente iniciativa, se entienden que hacen parte dentro de los programas y proyectos incluidos en los presupuestos de inversión anual y en el Plan Operativo Anual de Inversión de las Entidades competentes. Por lo que no requieren erogación o adición presupuestal alguna para el cumplimiento de los lineamientos planteados en el mismo.</w:t>
      </w:r>
    </w:p>
    <w:p w:rsidR="00C823F0" w:rsidRDefault="00867828">
      <w:pPr>
        <w:pBdr>
          <w:top w:val="nil"/>
          <w:left w:val="nil"/>
          <w:bottom w:val="nil"/>
          <w:right w:val="nil"/>
          <w:between w:val="nil"/>
        </w:pBdr>
        <w:spacing w:line="480" w:lineRule="auto"/>
      </w:pPr>
      <w:r>
        <w:t xml:space="preserve">      Adicional, esta iniciativa se enmarca en lo dispuesto por el Acuerdo 927 de 2024 “Bogotá Camina Segura”.</w:t>
      </w:r>
    </w:p>
    <w:p w:rsidR="00C823F0" w:rsidRDefault="00C823F0">
      <w:pPr>
        <w:pBdr>
          <w:top w:val="nil"/>
          <w:left w:val="nil"/>
          <w:bottom w:val="nil"/>
          <w:right w:val="nil"/>
          <w:between w:val="nil"/>
        </w:pBdr>
        <w:spacing w:line="480" w:lineRule="auto"/>
        <w:rPr>
          <w:b/>
        </w:rPr>
      </w:pPr>
    </w:p>
    <w:p w:rsidR="00C823F0" w:rsidRDefault="00C823F0">
      <w:pPr>
        <w:spacing w:line="276" w:lineRule="auto"/>
        <w:jc w:val="both"/>
      </w:pPr>
    </w:p>
    <w:p w:rsidR="00C823F0" w:rsidRDefault="00867828">
      <w:pPr>
        <w:spacing w:line="276" w:lineRule="auto"/>
        <w:jc w:val="both"/>
      </w:pPr>
      <w:r>
        <w:t>Cordialmente,</w:t>
      </w:r>
    </w:p>
    <w:p w:rsidR="00C823F0" w:rsidRDefault="00C823F0">
      <w:pPr>
        <w:jc w:val="both"/>
      </w:pPr>
    </w:p>
    <w:p w:rsidR="00C823F0" w:rsidRDefault="00C823F0"/>
    <w:p w:rsidR="00C823F0" w:rsidRDefault="00C823F0"/>
    <w:p w:rsidR="00C823F0" w:rsidRDefault="00867828">
      <w:r>
        <w:tab/>
      </w:r>
      <w:r>
        <w:tab/>
      </w:r>
    </w:p>
    <w:p w:rsidR="00C823F0" w:rsidRDefault="00867828">
      <w:pPr>
        <w:spacing w:line="360" w:lineRule="auto"/>
        <w:jc w:val="both"/>
        <w:rPr>
          <w:b/>
        </w:rPr>
      </w:pPr>
      <w:r>
        <w:rPr>
          <w:b/>
        </w:rPr>
        <w:t>CLARA LUCÍA SANDOVAL MORENO   MARIA VICTORIA VARGAS SILVA</w:t>
      </w:r>
    </w:p>
    <w:p w:rsidR="00C823F0" w:rsidRDefault="00867828">
      <w:pPr>
        <w:spacing w:line="360" w:lineRule="auto"/>
        <w:jc w:val="both"/>
      </w:pPr>
      <w:r>
        <w:t>Concejal de Bogotá                                  Concejal de Bogotá</w:t>
      </w:r>
    </w:p>
    <w:p w:rsidR="00C823F0" w:rsidRDefault="00867828">
      <w:pPr>
        <w:spacing w:line="360" w:lineRule="auto"/>
        <w:jc w:val="both"/>
      </w:pPr>
      <w:r>
        <w:t>Partido Liberal Colombiano                       Partido Liberal Colombiano</w:t>
      </w: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both"/>
      </w:pPr>
    </w:p>
    <w:p w:rsidR="00C823F0" w:rsidRDefault="00867828">
      <w:pPr>
        <w:jc w:val="center"/>
        <w:rPr>
          <w:b/>
        </w:rPr>
      </w:pPr>
      <w:r>
        <w:rPr>
          <w:b/>
        </w:rPr>
        <w:lastRenderedPageBreak/>
        <w:t>PROYECTO DE ACUERDO No. _______ DE  2025</w:t>
      </w:r>
    </w:p>
    <w:p w:rsidR="00C823F0" w:rsidRDefault="00C823F0"/>
    <w:p w:rsidR="00C823F0" w:rsidRDefault="00C823F0"/>
    <w:p w:rsidR="00C823F0" w:rsidRDefault="00867828">
      <w:pPr>
        <w:spacing w:line="480" w:lineRule="auto"/>
        <w:jc w:val="center"/>
        <w:rPr>
          <w:b/>
        </w:rPr>
      </w:pPr>
      <w:r>
        <w:rPr>
          <w:b/>
        </w:rPr>
        <w:t>“Por medio del cual, se transforma la Plaza La Santamaría en un Centro Cultural, Artístico, Deportivo y de Bienestar comunitario y se dictan otras disposiciones”</w:t>
      </w:r>
    </w:p>
    <w:p w:rsidR="00C823F0" w:rsidRDefault="00C823F0">
      <w:pPr>
        <w:jc w:val="center"/>
        <w:rPr>
          <w:b/>
        </w:rPr>
      </w:pPr>
    </w:p>
    <w:p w:rsidR="00C823F0" w:rsidRDefault="00C823F0">
      <w:pPr>
        <w:rPr>
          <w:b/>
        </w:rPr>
      </w:pPr>
    </w:p>
    <w:p w:rsidR="00C823F0" w:rsidRDefault="00C823F0"/>
    <w:p w:rsidR="00C823F0" w:rsidRDefault="00867828">
      <w:pPr>
        <w:jc w:val="center"/>
        <w:rPr>
          <w:b/>
        </w:rPr>
      </w:pPr>
      <w:r>
        <w:rPr>
          <w:b/>
        </w:rPr>
        <w:t>EL CONCEJO DE BOGOTÁ D.C.,</w:t>
      </w:r>
    </w:p>
    <w:p w:rsidR="00C823F0" w:rsidRDefault="00C823F0">
      <w:pPr>
        <w:jc w:val="center"/>
        <w:rPr>
          <w:b/>
        </w:rPr>
      </w:pPr>
    </w:p>
    <w:p w:rsidR="00C823F0" w:rsidRDefault="00867828">
      <w:pPr>
        <w:rPr>
          <w:b/>
        </w:rPr>
      </w:pPr>
      <w:r>
        <w:rPr>
          <w:b/>
        </w:rPr>
        <w:t>En uso de sus facultades constitucionales y legales, en especial las conferidas por el numeral 1, 13 y 25 del artículo 12 del Decreto Ley 1421 de 1993</w:t>
      </w:r>
    </w:p>
    <w:p w:rsidR="00C823F0" w:rsidRDefault="00C823F0">
      <w:pPr>
        <w:rPr>
          <w:b/>
        </w:rPr>
      </w:pPr>
    </w:p>
    <w:p w:rsidR="00C823F0" w:rsidRDefault="00867828">
      <w:pPr>
        <w:jc w:val="center"/>
        <w:rPr>
          <w:b/>
        </w:rPr>
      </w:pPr>
      <w:r>
        <w:rPr>
          <w:b/>
        </w:rPr>
        <w:t>ACUERDA</w:t>
      </w:r>
    </w:p>
    <w:p w:rsidR="00C823F0" w:rsidRDefault="00C823F0">
      <w:pPr>
        <w:spacing w:line="276" w:lineRule="auto"/>
        <w:rPr>
          <w:b/>
        </w:rPr>
      </w:pPr>
    </w:p>
    <w:p w:rsidR="00C823F0" w:rsidRDefault="00867828">
      <w:pPr>
        <w:spacing w:line="360" w:lineRule="auto"/>
        <w:jc w:val="both"/>
      </w:pPr>
      <w:r>
        <w:rPr>
          <w:b/>
        </w:rPr>
        <w:t>ARTÍCULO 1. OBJETO.</w:t>
      </w:r>
      <w:r>
        <w:t xml:space="preserve"> Transfórmese la Plaza La Santamaría en un Centro Cultural, Deportivo, Lúdico y Artístico, como un espacio emblemático para la convivencia ciudadana, el respeto por la vida animal y la apropiación social del patrimonio cultural del Distrito Capital.</w:t>
      </w:r>
    </w:p>
    <w:p w:rsidR="00C823F0" w:rsidRDefault="00C823F0">
      <w:pPr>
        <w:pBdr>
          <w:top w:val="nil"/>
          <w:left w:val="nil"/>
          <w:bottom w:val="nil"/>
          <w:right w:val="nil"/>
          <w:between w:val="nil"/>
        </w:pBdr>
        <w:spacing w:line="360" w:lineRule="auto"/>
        <w:jc w:val="both"/>
        <w:rPr>
          <w:color w:val="FF0000"/>
        </w:rPr>
      </w:pPr>
    </w:p>
    <w:p w:rsidR="00C823F0" w:rsidRDefault="00867828">
      <w:pPr>
        <w:pBdr>
          <w:top w:val="nil"/>
          <w:left w:val="nil"/>
          <w:bottom w:val="nil"/>
          <w:right w:val="nil"/>
          <w:between w:val="nil"/>
        </w:pBdr>
        <w:spacing w:line="360" w:lineRule="auto"/>
        <w:jc w:val="both"/>
        <w:rPr>
          <w:b/>
        </w:rPr>
      </w:pPr>
      <w:r>
        <w:rPr>
          <w:b/>
        </w:rPr>
        <w:t>Parágrafo.</w:t>
      </w:r>
      <w:r>
        <w:t xml:space="preserve"> La Administración Distrital garantizará la articulación interinstitucional para la celebración anual conmemorativa del activismo por los animales, luchas e iniciativas políticas y ciudadanas que condujeron al fin de las corridas de toros en la ciudad y en el país, con la promulgación de la Ley 2385 de 2024.</w:t>
      </w:r>
      <w:r>
        <w:rPr>
          <w:b/>
        </w:rPr>
        <w:t xml:space="preserve"> </w:t>
      </w:r>
    </w:p>
    <w:p w:rsidR="00C823F0" w:rsidRDefault="00C823F0">
      <w:pPr>
        <w:pBdr>
          <w:top w:val="nil"/>
          <w:left w:val="nil"/>
          <w:bottom w:val="nil"/>
          <w:right w:val="nil"/>
          <w:between w:val="nil"/>
        </w:pBdr>
        <w:spacing w:line="360" w:lineRule="auto"/>
        <w:jc w:val="both"/>
        <w:rPr>
          <w:b/>
        </w:rPr>
      </w:pPr>
    </w:p>
    <w:p w:rsidR="00C823F0" w:rsidRDefault="00867828">
      <w:pPr>
        <w:spacing w:line="360" w:lineRule="auto"/>
        <w:ind w:right="68"/>
        <w:jc w:val="both"/>
      </w:pPr>
      <w:r>
        <w:rPr>
          <w:b/>
        </w:rPr>
        <w:lastRenderedPageBreak/>
        <w:t>ARTÍCULO 2.</w:t>
      </w:r>
      <w:r>
        <w:rPr>
          <w:b/>
          <w:color w:val="FF0000"/>
        </w:rPr>
        <w:t xml:space="preserve"> </w:t>
      </w:r>
      <w:r>
        <w:rPr>
          <w:b/>
        </w:rPr>
        <w:t>FORO DISTRITAL CONMEMORATIVO:</w:t>
      </w:r>
      <w:r>
        <w:t xml:space="preserve"> El Concejo de Bogotá realizará anualmente un Foro Distrital por los Derechos de los Animales, con participación amplia de actores académicos, sociales, culturales y políticos, orientado al análisis sobre los retos y avances de este tema.</w:t>
      </w:r>
    </w:p>
    <w:p w:rsidR="00C823F0" w:rsidRDefault="00C823F0">
      <w:pPr>
        <w:spacing w:line="360" w:lineRule="auto"/>
        <w:jc w:val="both"/>
        <w:rPr>
          <w:b/>
        </w:rPr>
      </w:pPr>
    </w:p>
    <w:p w:rsidR="00C823F0" w:rsidRDefault="00867828">
      <w:pPr>
        <w:spacing w:line="360" w:lineRule="auto"/>
        <w:jc w:val="both"/>
      </w:pPr>
      <w:r>
        <w:rPr>
          <w:b/>
        </w:rPr>
        <w:t>ARTÍCULO 3. PARTICIPACIÓN CIUDADANA PARA EL CAMBIO DE NOMBRE:</w:t>
      </w:r>
      <w:r>
        <w:t xml:space="preserve"> La Administración Distrital, a través de la Secretaría de Cultura, Recreación y Deporte (SDCRD), </w:t>
      </w:r>
      <w:r>
        <w:rPr>
          <w:highlight w:val="white"/>
        </w:rPr>
        <w:t xml:space="preserve">el Instituto Distrital de la Participación y Acción Comunal (IDPAC) </w:t>
      </w:r>
      <w:r>
        <w:t>y demás entidades competentes, diseñarán, convocarán e implementarán un proceso abierto y participativo para seleccionar el nuevo nombre de la Plaza La Santamaría.</w:t>
      </w:r>
    </w:p>
    <w:p w:rsidR="00C823F0" w:rsidRDefault="00C823F0">
      <w:pPr>
        <w:spacing w:line="360" w:lineRule="auto"/>
        <w:jc w:val="both"/>
      </w:pPr>
    </w:p>
    <w:p w:rsidR="00C823F0" w:rsidRDefault="00867828">
      <w:pPr>
        <w:spacing w:line="360" w:lineRule="auto"/>
        <w:jc w:val="both"/>
      </w:pPr>
      <w:r>
        <w:rPr>
          <w:b/>
        </w:rPr>
        <w:t xml:space="preserve">Parágrafo 1. </w:t>
      </w:r>
      <w:r>
        <w:t xml:space="preserve">La Administración Distrital establecerá los criterios y el Comité de selección para la toma de decisión. </w:t>
      </w:r>
    </w:p>
    <w:p w:rsidR="00C823F0" w:rsidRDefault="00C823F0">
      <w:pPr>
        <w:spacing w:line="360" w:lineRule="auto"/>
        <w:jc w:val="both"/>
      </w:pPr>
    </w:p>
    <w:p w:rsidR="00C823F0" w:rsidRDefault="00867828">
      <w:pPr>
        <w:spacing w:line="360" w:lineRule="auto"/>
        <w:jc w:val="both"/>
      </w:pPr>
      <w:r>
        <w:rPr>
          <w:b/>
        </w:rPr>
        <w:t xml:space="preserve">Parágrafo 2. </w:t>
      </w:r>
      <w:r>
        <w:t>La Administración Distrital tramitará ante el Ministerio de Cultura y conforme a la normatividad vigente lo correspondiente al cambio de nombre de la Plaza La Santamaría propuesto por los ciudadanos.</w:t>
      </w:r>
    </w:p>
    <w:p w:rsidR="00C823F0" w:rsidRDefault="00C823F0">
      <w:pPr>
        <w:spacing w:line="360" w:lineRule="auto"/>
        <w:jc w:val="both"/>
        <w:rPr>
          <w:b/>
        </w:rPr>
      </w:pPr>
    </w:p>
    <w:p w:rsidR="00C823F0" w:rsidRDefault="00867828">
      <w:pPr>
        <w:spacing w:line="360" w:lineRule="auto"/>
        <w:jc w:val="both"/>
      </w:pPr>
      <w:r>
        <w:rPr>
          <w:b/>
        </w:rPr>
        <w:t>ARTÍCULO TERCERO:</w:t>
      </w:r>
      <w:r>
        <w:t xml:space="preserve"> </w:t>
      </w:r>
      <w:r>
        <w:rPr>
          <w:b/>
        </w:rPr>
        <w:t xml:space="preserve">OBJETIVOS: </w:t>
      </w:r>
      <w:r>
        <w:rPr>
          <w:sz w:val="26"/>
          <w:szCs w:val="26"/>
          <w:highlight w:val="white"/>
        </w:rPr>
        <w:t xml:space="preserve">Como Bien de Interés Cultural del Distrito Capital, </w:t>
      </w:r>
      <w:r>
        <w:t>las estrategias para la transformación de la Plaza La Santamaria tendrá como objetivos:</w:t>
      </w:r>
    </w:p>
    <w:p w:rsidR="00C823F0" w:rsidRDefault="00C823F0">
      <w:pPr>
        <w:spacing w:line="360" w:lineRule="auto"/>
        <w:jc w:val="both"/>
      </w:pPr>
    </w:p>
    <w:p w:rsidR="00C823F0" w:rsidRDefault="00867828">
      <w:pPr>
        <w:numPr>
          <w:ilvl w:val="0"/>
          <w:numId w:val="3"/>
        </w:numPr>
        <w:spacing w:line="360" w:lineRule="auto"/>
        <w:jc w:val="both"/>
      </w:pPr>
      <w:r>
        <w:t xml:space="preserve">Dinamizar el desarrollo social, económico, turístico y cultural de la Plaza La Santamaría que involucra la participación ciudadana, la reconversión laboral </w:t>
      </w:r>
      <w:r>
        <w:lastRenderedPageBreak/>
        <w:t>y la transformación cultural para la protección del patrimonio cultural  y el respeto por todas las formas de vida.</w:t>
      </w:r>
    </w:p>
    <w:p w:rsidR="00C823F0" w:rsidRDefault="00867828">
      <w:pPr>
        <w:numPr>
          <w:ilvl w:val="0"/>
          <w:numId w:val="3"/>
        </w:numPr>
        <w:spacing w:line="360" w:lineRule="auto"/>
        <w:jc w:val="both"/>
        <w:rPr>
          <w:sz w:val="22"/>
          <w:szCs w:val="22"/>
        </w:rPr>
      </w:pPr>
      <w:r>
        <w:t>Promover el desarrollo económico y la sostenibilidad financiera de la Plaza La Santamaría, promoviendo iniciativas e incentivos para la inversión y/o movilización de recursos.</w:t>
      </w:r>
    </w:p>
    <w:p w:rsidR="00C823F0" w:rsidRDefault="00867828">
      <w:pPr>
        <w:numPr>
          <w:ilvl w:val="0"/>
          <w:numId w:val="3"/>
        </w:numPr>
        <w:spacing w:line="360" w:lineRule="auto"/>
        <w:jc w:val="both"/>
        <w:rPr>
          <w:sz w:val="22"/>
          <w:szCs w:val="22"/>
        </w:rPr>
      </w:pPr>
      <w:r>
        <w:t xml:space="preserve">Difundir la riqueza cultural del Distrito Capital y conmemorar su avance hacia una sociedad más justa, ética y compasiva con la protección de los animales, teniendo un posicionamiento a nivel distrital y nacional. </w:t>
      </w:r>
    </w:p>
    <w:p w:rsidR="00C823F0" w:rsidRDefault="00867828">
      <w:pPr>
        <w:numPr>
          <w:ilvl w:val="0"/>
          <w:numId w:val="3"/>
        </w:numPr>
        <w:spacing w:line="360" w:lineRule="auto"/>
        <w:jc w:val="both"/>
      </w:pPr>
      <w:r>
        <w:t>Implementar un circuito turístico y gastronómico a través de la oferta cultural, artística y deportiva en el área de influencia de la Plaza La Santamaría.</w:t>
      </w:r>
    </w:p>
    <w:p w:rsidR="00C823F0" w:rsidRDefault="00867828">
      <w:pPr>
        <w:numPr>
          <w:ilvl w:val="0"/>
          <w:numId w:val="3"/>
        </w:numPr>
        <w:spacing w:line="360" w:lineRule="auto"/>
        <w:jc w:val="both"/>
      </w:pPr>
      <w:r>
        <w:t>Fomentar espacios de integración y bienestar comunitario, desarrollo cultural y educativo en torno a las artes y desarrollo económico en espacios de innovación y creatividad.</w:t>
      </w:r>
    </w:p>
    <w:p w:rsidR="00C823F0" w:rsidRDefault="00C823F0">
      <w:pPr>
        <w:spacing w:line="360" w:lineRule="auto"/>
        <w:jc w:val="both"/>
      </w:pPr>
    </w:p>
    <w:p w:rsidR="00C823F0" w:rsidRDefault="00867828">
      <w:pPr>
        <w:spacing w:line="360" w:lineRule="auto"/>
        <w:jc w:val="both"/>
      </w:pPr>
      <w:r>
        <w:rPr>
          <w:b/>
        </w:rPr>
        <w:t xml:space="preserve">ARTÍCULO 4. RECONVERSIÓN ECONÓMICA Y LABORAL. </w:t>
      </w:r>
      <w:r>
        <w:t>La Administración Distrital, en cabeza de la Secretaría de Desarrollo Económico, formulará un plan especial para garantizar programas efectivos de reconversión laboral y generación de alternativas económicas sostenibles para las personas que se dedican a la actividad taurina y que demuestren que sus ingresos y sustento económico principal, se derivan de las actividades de las que tratan la Ley 2385 de 2024.</w:t>
      </w:r>
    </w:p>
    <w:p w:rsidR="00C823F0" w:rsidRDefault="00C823F0">
      <w:pPr>
        <w:spacing w:line="360" w:lineRule="auto"/>
        <w:jc w:val="both"/>
      </w:pPr>
    </w:p>
    <w:p w:rsidR="00C823F0" w:rsidRDefault="00867828">
      <w:pPr>
        <w:spacing w:line="360" w:lineRule="auto"/>
        <w:jc w:val="both"/>
      </w:pPr>
      <w:r>
        <w:rPr>
          <w:b/>
        </w:rPr>
        <w:t xml:space="preserve">ARTÍCULO 5. TRANSFORMACIÓN CULTURAL: </w:t>
      </w:r>
      <w:r>
        <w:t xml:space="preserve">La Administración Distrital realizará el proceso de reconversión de la Plaza Cultural La Santamaría en espacios destinados a actividades culturales, lúdicas, deportivas y artísticas, priorizando la </w:t>
      </w:r>
      <w:r>
        <w:lastRenderedPageBreak/>
        <w:t xml:space="preserve">vinculación y participación de las personas señaladas en el artículo 4 del presente  Acuerdo. </w:t>
      </w:r>
    </w:p>
    <w:p w:rsidR="00C823F0" w:rsidRDefault="00C823F0">
      <w:pPr>
        <w:spacing w:line="360" w:lineRule="auto"/>
        <w:jc w:val="both"/>
        <w:rPr>
          <w:b/>
        </w:rPr>
      </w:pPr>
    </w:p>
    <w:p w:rsidR="00C823F0" w:rsidRDefault="00867828">
      <w:pPr>
        <w:spacing w:line="360" w:lineRule="auto"/>
        <w:jc w:val="both"/>
        <w:rPr>
          <w:highlight w:val="white"/>
        </w:rPr>
      </w:pPr>
      <w:r>
        <w:rPr>
          <w:b/>
        </w:rPr>
        <w:t>Parágrafo:</w:t>
      </w:r>
      <w:r>
        <w:t xml:space="preserve"> La Administración Distrital formulará el </w:t>
      </w:r>
      <w:r>
        <w:rPr>
          <w:sz w:val="26"/>
          <w:szCs w:val="26"/>
          <w:highlight w:val="white"/>
        </w:rPr>
        <w:t>Plan Especial de Manejo y Protección de la Plaza La Santamarí</w:t>
      </w:r>
      <w:r>
        <w:rPr>
          <w:highlight w:val="white"/>
        </w:rPr>
        <w:t>a, como instrumento de planeación y gestión determinante de ordenamiento territorial.</w:t>
      </w:r>
    </w:p>
    <w:p w:rsidR="00C823F0" w:rsidRDefault="00C823F0">
      <w:pPr>
        <w:spacing w:line="360" w:lineRule="auto"/>
        <w:jc w:val="both"/>
        <w:rPr>
          <w:b/>
          <w:highlight w:val="white"/>
        </w:rPr>
      </w:pPr>
    </w:p>
    <w:p w:rsidR="00C823F0" w:rsidRDefault="00867828">
      <w:pPr>
        <w:spacing w:line="360" w:lineRule="auto"/>
        <w:jc w:val="both"/>
        <w:rPr>
          <w:highlight w:val="white"/>
        </w:rPr>
      </w:pPr>
      <w:r>
        <w:rPr>
          <w:b/>
          <w:highlight w:val="white"/>
        </w:rPr>
        <w:t>ARTÍCULO 6. PLAN ESPECIAL DE MANEJO Y PROTECCIÓN (PEMP).</w:t>
      </w:r>
      <w:r>
        <w:rPr>
          <w:highlight w:val="white"/>
        </w:rPr>
        <w:t xml:space="preserve"> La Administración Distrital, a través del Instituto Distrital de Patrimonio Cultural, formulará el Plan Especial de Manejo y Protección del Centro Cultural, Deportivo, Lúdico y Artístico La Santamaría, conforme la Ley 1185 de 2008 y demás normativa aplicable.</w:t>
      </w:r>
    </w:p>
    <w:p w:rsidR="00C823F0" w:rsidRDefault="00867828">
      <w:pPr>
        <w:spacing w:before="240" w:after="240" w:line="360" w:lineRule="auto"/>
        <w:jc w:val="both"/>
        <w:rPr>
          <w:highlight w:val="white"/>
        </w:rPr>
      </w:pPr>
      <w:r>
        <w:rPr>
          <w:b/>
          <w:highlight w:val="white"/>
        </w:rPr>
        <w:t xml:space="preserve">Parágrafo. </w:t>
      </w:r>
      <w:r>
        <w:t xml:space="preserve">La Administración Distrital tramitará ante el </w:t>
      </w:r>
      <w:r>
        <w:rPr>
          <w:highlight w:val="white"/>
        </w:rPr>
        <w:t xml:space="preserve">Consejo Nacional de Patrimonio y demás entidades competentes, la aprobación y adopción del PEMP, </w:t>
      </w:r>
      <w:r>
        <w:t xml:space="preserve">según los términos dados por la </w:t>
      </w:r>
      <w:r>
        <w:rPr>
          <w:highlight w:val="white"/>
        </w:rPr>
        <w:t>Ley.</w:t>
      </w:r>
    </w:p>
    <w:p w:rsidR="00C823F0" w:rsidRDefault="00C823F0">
      <w:pPr>
        <w:spacing w:line="360" w:lineRule="auto"/>
        <w:jc w:val="both"/>
        <w:rPr>
          <w:highlight w:val="white"/>
        </w:rPr>
      </w:pPr>
    </w:p>
    <w:p w:rsidR="00C823F0" w:rsidRDefault="00867828">
      <w:pPr>
        <w:spacing w:line="360" w:lineRule="auto"/>
        <w:jc w:val="both"/>
      </w:pPr>
      <w:r>
        <w:rPr>
          <w:b/>
        </w:rPr>
        <w:t xml:space="preserve">ARTÍCULO 7. CIRCUITO TURÍSTICO Y GASTRONÓMICO. </w:t>
      </w:r>
      <w:r>
        <w:t>La Administración Distrital, en coordinación con el Instituto Distrital de Turismo, diseñará e implementará un circuito turístico y gastronómico en la zona de influencia de la Plaza La Santamaría; involucrando el Planetario de Bogotá, el Parque de la Independencia, el Museo Nacional de Colombia y La Macarena, entre otros.  Incentivando la participación activa de comerciantes, emprendedores culturales, operadores turísticos y residentes del sector.</w:t>
      </w:r>
    </w:p>
    <w:p w:rsidR="00C823F0" w:rsidRDefault="00C823F0">
      <w:pPr>
        <w:spacing w:line="360" w:lineRule="auto"/>
        <w:jc w:val="both"/>
      </w:pPr>
    </w:p>
    <w:p w:rsidR="00C823F0" w:rsidRDefault="00867828">
      <w:pPr>
        <w:spacing w:line="360" w:lineRule="auto"/>
        <w:jc w:val="both"/>
        <w:rPr>
          <w:highlight w:val="white"/>
        </w:rPr>
      </w:pPr>
      <w:r>
        <w:rPr>
          <w:b/>
        </w:rPr>
        <w:t xml:space="preserve">Parágrafo: </w:t>
      </w:r>
      <w:r>
        <w:rPr>
          <w:highlight w:val="white"/>
        </w:rPr>
        <w:t xml:space="preserve">El Instituto Distrital de Turismo (IDT) propenderá por la gestión y consolidación de alianzas estratégicas con establecimientos, agentes y operadores turísticos del Distrito Capital con el fin de generar beneficios, oportunidades a nivel nacional e internacional. </w:t>
      </w:r>
    </w:p>
    <w:p w:rsidR="00C823F0" w:rsidRDefault="00C823F0">
      <w:pPr>
        <w:spacing w:line="360" w:lineRule="auto"/>
        <w:jc w:val="both"/>
        <w:rPr>
          <w:highlight w:val="white"/>
        </w:rPr>
      </w:pPr>
    </w:p>
    <w:p w:rsidR="00C823F0" w:rsidRDefault="00867828">
      <w:pPr>
        <w:spacing w:line="360" w:lineRule="auto"/>
        <w:jc w:val="both"/>
      </w:pPr>
      <w:r>
        <w:rPr>
          <w:b/>
        </w:rPr>
        <w:t xml:space="preserve">ARTÍCULO 8. EDUCACIÓN Y SENSIBILIZACIÓN PARA LA PROTECCIÓN DEL PATRIMONIO CULTURAL Y EL BIENESTAR ANIMAL: </w:t>
      </w:r>
      <w:r>
        <w:t>La Administración Distrital en cabeza de la Secretaría de Cultura Recreación y Deporte fomentará una cultura ciudadana alrededor de la vida, el respeto y la protección animal, sensibilizando sobre las prácticas prohibidas por la Ley 2385 de 2024 y fomentando la apropiación responsable y el cuidado del patrimonio cultural de Bogotá.</w:t>
      </w:r>
    </w:p>
    <w:p w:rsidR="00C823F0" w:rsidRDefault="00C823F0">
      <w:pPr>
        <w:spacing w:line="360" w:lineRule="auto"/>
        <w:jc w:val="both"/>
      </w:pPr>
    </w:p>
    <w:p w:rsidR="00C823F0" w:rsidRDefault="00867828">
      <w:pPr>
        <w:spacing w:line="360" w:lineRule="auto"/>
        <w:jc w:val="both"/>
        <w:rPr>
          <w:b/>
        </w:rPr>
      </w:pPr>
      <w:r>
        <w:rPr>
          <w:b/>
        </w:rPr>
        <w:t xml:space="preserve">ARTÍCULO 9. INSTALACIÓN MOSAICO CONMEMORATIVO: </w:t>
      </w:r>
      <w:r>
        <w:t>La Administración Distrital hará la instalación de un mosaico conmemorativo en la Plaza La Santamaría de Bogotá, como símbolo permanente de su legado patrimonial y una ciudad que fue capaz de evolucionar en la protección y el bienestar animal, dejando atrás las actividades de crueldad y tortura con los animales.</w:t>
      </w:r>
    </w:p>
    <w:p w:rsidR="00C823F0" w:rsidRDefault="00C823F0">
      <w:pPr>
        <w:spacing w:line="360" w:lineRule="auto"/>
        <w:jc w:val="both"/>
        <w:rPr>
          <w:b/>
        </w:rPr>
      </w:pPr>
    </w:p>
    <w:p w:rsidR="00C823F0" w:rsidRDefault="00867828">
      <w:pPr>
        <w:spacing w:line="360" w:lineRule="auto"/>
        <w:jc w:val="both"/>
      </w:pPr>
      <w:r>
        <w:rPr>
          <w:b/>
        </w:rPr>
        <w:t>ARTÍCULO 10. DIVULGACIÓN:</w:t>
      </w:r>
      <w:r>
        <w:t xml:space="preserve"> </w:t>
      </w:r>
      <w:r>
        <w:rPr>
          <w:highlight w:val="white"/>
        </w:rPr>
        <w:t xml:space="preserve">La Administración Distrital implementará de forma permanente estrategias comunicativas innovadoras y en diferentes formatos, mediante las cuales se informe sobre las actividades </w:t>
      </w:r>
      <w:r>
        <w:t xml:space="preserve">culturales, lúdicas, deportivas y artísticas, </w:t>
      </w:r>
      <w:r>
        <w:rPr>
          <w:highlight w:val="white"/>
        </w:rPr>
        <w:t xml:space="preserve">ofrecidas en la Plaza La Santamaría, con proyección turística nacional e internacional. </w:t>
      </w:r>
    </w:p>
    <w:p w:rsidR="00C823F0" w:rsidRDefault="00C823F0">
      <w:pPr>
        <w:spacing w:line="360" w:lineRule="auto"/>
        <w:jc w:val="both"/>
        <w:rPr>
          <w:b/>
        </w:rPr>
      </w:pPr>
    </w:p>
    <w:p w:rsidR="00C823F0" w:rsidRDefault="00867828">
      <w:pPr>
        <w:spacing w:line="360" w:lineRule="auto"/>
        <w:jc w:val="both"/>
        <w:rPr>
          <w:highlight w:val="white"/>
        </w:rPr>
      </w:pPr>
      <w:r>
        <w:rPr>
          <w:b/>
        </w:rPr>
        <w:lastRenderedPageBreak/>
        <w:t>ARTÍCULO 11. CUMPLIMIENTO Y SEGUIMIENTO</w:t>
      </w:r>
      <w:r>
        <w:t xml:space="preserve">. La Administración Distrital velará por la ejecución efectiva y el seguimiento permanente del presente Acuerdo. En cabeza de la Secretaría de Cultura, Recreación y Deporte se presentará informe anual al Concejo de Bogotá </w:t>
      </w:r>
      <w:r>
        <w:rPr>
          <w:highlight w:val="white"/>
        </w:rPr>
        <w:t>sobre el cumplimiento e impacto de las disposiciones contenidas en el presente Acuerdo.</w:t>
      </w:r>
    </w:p>
    <w:p w:rsidR="00C823F0" w:rsidRDefault="00C823F0">
      <w:pPr>
        <w:spacing w:line="360" w:lineRule="auto"/>
        <w:jc w:val="both"/>
      </w:pPr>
    </w:p>
    <w:p w:rsidR="00C823F0" w:rsidRDefault="00867828">
      <w:pPr>
        <w:spacing w:line="360" w:lineRule="auto"/>
        <w:jc w:val="both"/>
      </w:pPr>
      <w:r>
        <w:rPr>
          <w:b/>
        </w:rPr>
        <w:t>VIGENCIA:</w:t>
      </w:r>
      <w:r>
        <w:t xml:space="preserve"> El presente Acuerdo rige a partir de su publicación </w:t>
      </w:r>
      <w:r>
        <w:rPr>
          <w:highlight w:val="white"/>
        </w:rPr>
        <w:t>y deroga las disposiciones que le sean contrarias</w:t>
      </w:r>
      <w:r>
        <w:t>.</w:t>
      </w:r>
    </w:p>
    <w:p w:rsidR="00C823F0" w:rsidRDefault="00C823F0">
      <w:pPr>
        <w:spacing w:line="360" w:lineRule="auto"/>
        <w:jc w:val="both"/>
      </w:pPr>
    </w:p>
    <w:p w:rsidR="00C823F0" w:rsidRDefault="00C823F0">
      <w:pPr>
        <w:spacing w:line="360" w:lineRule="auto"/>
        <w:jc w:val="both"/>
      </w:pPr>
    </w:p>
    <w:p w:rsidR="00C823F0" w:rsidRDefault="00C823F0">
      <w:pPr>
        <w:spacing w:line="360" w:lineRule="auto"/>
        <w:jc w:val="center"/>
        <w:rPr>
          <w:b/>
        </w:rPr>
      </w:pPr>
    </w:p>
    <w:p w:rsidR="00C823F0" w:rsidRDefault="00867828">
      <w:pPr>
        <w:spacing w:line="360" w:lineRule="auto"/>
        <w:jc w:val="center"/>
        <w:rPr>
          <w:b/>
        </w:rPr>
      </w:pPr>
      <w:r>
        <w:rPr>
          <w:b/>
        </w:rPr>
        <w:t>PUBLÍQUESE Y CÚMPLASE</w:t>
      </w:r>
    </w:p>
    <w:p w:rsidR="00C823F0" w:rsidRDefault="00C823F0">
      <w:pPr>
        <w:spacing w:line="276" w:lineRule="auto"/>
        <w:rPr>
          <w:b/>
        </w:rPr>
      </w:pPr>
    </w:p>
    <w:p w:rsidR="00C823F0" w:rsidRDefault="00C823F0">
      <w:pPr>
        <w:pBdr>
          <w:top w:val="nil"/>
          <w:left w:val="nil"/>
          <w:bottom w:val="nil"/>
          <w:right w:val="nil"/>
          <w:between w:val="nil"/>
        </w:pBdr>
        <w:spacing w:line="276" w:lineRule="auto"/>
        <w:jc w:val="center"/>
        <w:rPr>
          <w:b/>
        </w:rPr>
      </w:pPr>
    </w:p>
    <w:sectPr w:rsidR="00C823F0">
      <w:headerReference w:type="default" r:id="rId32"/>
      <w:footerReference w:type="even" r:id="rId33"/>
      <w:footerReference w:type="default" r:id="rId34"/>
      <w:pgSz w:w="12242" w:h="15842"/>
      <w:pgMar w:top="1701" w:right="1701" w:bottom="1276" w:left="1701" w:header="1134" w:footer="851"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7828" w:rsidRDefault="00867828">
      <w:r>
        <w:separator/>
      </w:r>
    </w:p>
  </w:endnote>
  <w:endnote w:type="continuationSeparator" w:id="0">
    <w:p w:rsidR="00867828" w:rsidRDefault="008678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23F0" w:rsidRDefault="00867828">
    <w:pPr>
      <w:pBdr>
        <w:top w:val="nil"/>
        <w:left w:val="nil"/>
        <w:bottom w:val="nil"/>
        <w:right w:val="nil"/>
        <w:between w:val="nil"/>
      </w:pBdr>
      <w:tabs>
        <w:tab w:val="center" w:pos="4252"/>
        <w:tab w:val="right" w:pos="8504"/>
      </w:tabs>
      <w:jc w:val="right"/>
    </w:pPr>
    <w:r>
      <w:fldChar w:fldCharType="begin"/>
    </w:r>
    <w:r>
      <w:instrText>PAGE</w:instrText>
    </w:r>
    <w:r>
      <w:fldChar w:fldCharType="end"/>
    </w:r>
  </w:p>
  <w:p w:rsidR="00C823F0" w:rsidRDefault="00C823F0">
    <w:pPr>
      <w:pBdr>
        <w:top w:val="nil"/>
        <w:left w:val="nil"/>
        <w:bottom w:val="nil"/>
        <w:right w:val="nil"/>
        <w:between w:val="nil"/>
      </w:pBdr>
      <w:tabs>
        <w:tab w:val="center" w:pos="4252"/>
        <w:tab w:val="right" w:pos="8504"/>
      </w:tabs>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23F0" w:rsidRDefault="00C823F0">
    <w:pPr>
      <w:pBdr>
        <w:top w:val="nil"/>
        <w:left w:val="nil"/>
        <w:bottom w:val="nil"/>
        <w:right w:val="nil"/>
        <w:between w:val="nil"/>
      </w:pBdr>
      <w:tabs>
        <w:tab w:val="center" w:pos="4252"/>
        <w:tab w:val="right" w:pos="8504"/>
      </w:tabs>
      <w:jc w:val="center"/>
      <w:rPr>
        <w:sz w:val="18"/>
        <w:szCs w:val="18"/>
      </w:rPr>
    </w:pPr>
  </w:p>
  <w:p w:rsidR="00C823F0" w:rsidRDefault="00C823F0">
    <w:pPr>
      <w:pBdr>
        <w:top w:val="nil"/>
        <w:left w:val="nil"/>
        <w:bottom w:val="nil"/>
        <w:right w:val="nil"/>
        <w:between w:val="nil"/>
      </w:pBdr>
      <w:tabs>
        <w:tab w:val="center" w:pos="4252"/>
        <w:tab w:val="right" w:pos="8504"/>
      </w:tabs>
      <w:jc w:val="center"/>
      <w:rPr>
        <w:sz w:val="18"/>
        <w:szCs w:val="18"/>
      </w:rPr>
    </w:pPr>
  </w:p>
  <w:p w:rsidR="00C823F0" w:rsidRDefault="00C823F0">
    <w:pPr>
      <w:pBdr>
        <w:top w:val="nil"/>
        <w:left w:val="nil"/>
        <w:bottom w:val="nil"/>
        <w:right w:val="nil"/>
        <w:between w:val="nil"/>
      </w:pBdr>
      <w:tabs>
        <w:tab w:val="center" w:pos="4252"/>
        <w:tab w:val="right" w:pos="8504"/>
      </w:tabs>
      <w:jc w:val="center"/>
      <w:rPr>
        <w:sz w:val="16"/>
        <w:szCs w:val="16"/>
      </w:rPr>
    </w:pPr>
  </w:p>
  <w:p w:rsidR="00C823F0" w:rsidRDefault="00C823F0">
    <w:pPr>
      <w:pBdr>
        <w:top w:val="nil"/>
        <w:left w:val="nil"/>
        <w:bottom w:val="nil"/>
        <w:right w:val="nil"/>
        <w:between w:val="nil"/>
      </w:pBdr>
      <w:tabs>
        <w:tab w:val="center" w:pos="4252"/>
        <w:tab w:val="right" w:pos="8504"/>
      </w:tabs>
      <w:rPr>
        <w:sz w:val="16"/>
        <w:szCs w:val="16"/>
      </w:rPr>
    </w:pPr>
  </w:p>
  <w:p w:rsidR="00C823F0" w:rsidRDefault="00C823F0">
    <w:pPr>
      <w:pBdr>
        <w:top w:val="nil"/>
        <w:left w:val="nil"/>
        <w:bottom w:val="nil"/>
        <w:right w:val="nil"/>
        <w:between w:val="nil"/>
      </w:pBdr>
      <w:tabs>
        <w:tab w:val="center" w:pos="4252"/>
        <w:tab w:val="right" w:pos="8504"/>
      </w:tabs>
      <w:rPr>
        <w:sz w:val="16"/>
        <w:szCs w:val="16"/>
      </w:rPr>
    </w:pPr>
  </w:p>
  <w:p w:rsidR="00C823F0" w:rsidRDefault="00C823F0">
    <w:pPr>
      <w:jc w:val="right"/>
      <w:rPr>
        <w:b/>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7828" w:rsidRDefault="00867828">
      <w:r>
        <w:separator/>
      </w:r>
    </w:p>
  </w:footnote>
  <w:footnote w:type="continuationSeparator" w:id="0">
    <w:p w:rsidR="00867828" w:rsidRDefault="00867828">
      <w:r>
        <w:continuationSeparator/>
      </w:r>
    </w:p>
  </w:footnote>
  <w:footnote w:id="1">
    <w:p w:rsidR="00C823F0" w:rsidRDefault="00867828">
      <w:pP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Constitución Política de Colombia. (1991). Bogotá, Colombia: Editorial Legis. </w:t>
      </w:r>
    </w:p>
  </w:footnote>
  <w:footnote w:id="2">
    <w:p w:rsidR="00C823F0" w:rsidRDefault="00867828">
      <w:pPr>
        <w:rPr>
          <w:rFonts w:ascii="Times New Roman" w:eastAsia="Times New Roman" w:hAnsi="Times New Roman" w:cs="Times New Roman"/>
          <w:sz w:val="20"/>
          <w:szCs w:val="20"/>
        </w:rPr>
      </w:pPr>
      <w:r>
        <w:rPr>
          <w:vertAlign w:val="superscript"/>
        </w:rPr>
        <w:footnoteRef/>
      </w:r>
      <w:r>
        <w:rPr>
          <w:rFonts w:ascii="Times New Roman" w:eastAsia="Times New Roman" w:hAnsi="Times New Roman" w:cs="Times New Roman"/>
          <w:sz w:val="20"/>
          <w:szCs w:val="20"/>
        </w:rPr>
        <w:t xml:space="preserve"> Ibídem.</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823F0" w:rsidRDefault="00867828">
    <w:pPr>
      <w:widowControl w:val="0"/>
      <w:spacing w:line="276" w:lineRule="auto"/>
      <w:rPr>
        <w:rFonts w:ascii="Times New Roman" w:eastAsia="Times New Roman" w:hAnsi="Times New Roman" w:cs="Times New Roman"/>
        <w:sz w:val="20"/>
        <w:szCs w:val="20"/>
      </w:rPr>
    </w:pPr>
    <w:r>
      <w:rPr>
        <w:noProof/>
        <w:lang w:val="es-CO"/>
      </w:rPr>
      <w:drawing>
        <wp:anchor distT="0" distB="0" distL="0" distR="0" simplePos="0" relativeHeight="251658240" behindDoc="1" locked="0" layoutInCell="1" hidden="0" allowOverlap="1">
          <wp:simplePos x="0" y="0"/>
          <wp:positionH relativeFrom="column">
            <wp:posOffset>441325</wp:posOffset>
          </wp:positionH>
          <wp:positionV relativeFrom="paragraph">
            <wp:posOffset>-890268</wp:posOffset>
          </wp:positionV>
          <wp:extent cx="752475" cy="885825"/>
          <wp:effectExtent l="0" t="0" r="0" b="0"/>
          <wp:wrapNone/>
          <wp:docPr id="18"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2475" cy="885825"/>
                  </a:xfrm>
                  <a:prstGeom prst="rect">
                    <a:avLst/>
                  </a:prstGeom>
                  <a:ln/>
                </pic:spPr>
              </pic:pic>
            </a:graphicData>
          </a:graphic>
        </wp:anchor>
      </w:drawing>
    </w:r>
  </w:p>
  <w:tbl>
    <w:tblPr>
      <w:tblStyle w:val="a"/>
      <w:tblpPr w:leftFromText="180" w:rightFromText="180" w:topFromText="180" w:bottomFromText="180" w:vertAnchor="text" w:tblpX="-20"/>
      <w:tblW w:w="8830" w:type="dxa"/>
      <w:tblInd w:w="0" w:type="dxa"/>
      <w:tblLayout w:type="fixed"/>
      <w:tblLook w:val="0000" w:firstRow="0" w:lastRow="0" w:firstColumn="0" w:lastColumn="0" w:noHBand="0" w:noVBand="0"/>
    </w:tblPr>
    <w:tblGrid>
      <w:gridCol w:w="2361"/>
      <w:gridCol w:w="4235"/>
      <w:gridCol w:w="2234"/>
    </w:tblGrid>
    <w:tr w:rsidR="00C823F0">
      <w:trPr>
        <w:trHeight w:val="454"/>
      </w:trPr>
      <w:tc>
        <w:tcPr>
          <w:tcW w:w="2361" w:type="dxa"/>
          <w:vMerge w:val="restart"/>
          <w:tcBorders>
            <w:top w:val="single" w:sz="4" w:space="0" w:color="000000"/>
            <w:left w:val="single" w:sz="4" w:space="0" w:color="000000"/>
            <w:bottom w:val="single" w:sz="4" w:space="0" w:color="000000"/>
            <w:right w:val="single" w:sz="4" w:space="0" w:color="000000"/>
          </w:tcBorders>
          <w:vAlign w:val="center"/>
        </w:tcPr>
        <w:p w:rsidR="00C823F0" w:rsidRDefault="00C823F0">
          <w:pPr>
            <w:jc w:val="center"/>
            <w:rPr>
              <w:sz w:val="16"/>
              <w:szCs w:val="16"/>
            </w:rPr>
          </w:pPr>
        </w:p>
      </w:tc>
      <w:tc>
        <w:tcPr>
          <w:tcW w:w="4235" w:type="dxa"/>
          <w:tcBorders>
            <w:top w:val="single" w:sz="4" w:space="0" w:color="000000"/>
            <w:left w:val="single" w:sz="4" w:space="0" w:color="000000"/>
            <w:bottom w:val="single" w:sz="4" w:space="0" w:color="000000"/>
            <w:right w:val="single" w:sz="4" w:space="0" w:color="000000"/>
          </w:tcBorders>
          <w:vAlign w:val="center"/>
        </w:tcPr>
        <w:p w:rsidR="00C823F0" w:rsidRDefault="00867828">
          <w:pPr>
            <w:jc w:val="center"/>
            <w:rPr>
              <w:sz w:val="18"/>
              <w:szCs w:val="18"/>
            </w:rPr>
          </w:pPr>
          <w:r>
            <w:rPr>
              <w:sz w:val="18"/>
              <w:szCs w:val="18"/>
            </w:rPr>
            <w:t>PROCESO GESTIÓN NORMATIVA</w:t>
          </w:r>
        </w:p>
      </w:tc>
      <w:tc>
        <w:tcPr>
          <w:tcW w:w="2234" w:type="dxa"/>
          <w:tcBorders>
            <w:top w:val="single" w:sz="4" w:space="0" w:color="000000"/>
            <w:left w:val="single" w:sz="4" w:space="0" w:color="000000"/>
            <w:bottom w:val="single" w:sz="4" w:space="0" w:color="000000"/>
            <w:right w:val="single" w:sz="4" w:space="0" w:color="000000"/>
          </w:tcBorders>
          <w:vAlign w:val="center"/>
        </w:tcPr>
        <w:p w:rsidR="00C823F0" w:rsidRDefault="00867828">
          <w:pPr>
            <w:rPr>
              <w:sz w:val="16"/>
              <w:szCs w:val="16"/>
            </w:rPr>
          </w:pPr>
          <w:r>
            <w:rPr>
              <w:sz w:val="16"/>
              <w:szCs w:val="16"/>
            </w:rPr>
            <w:t>CÓDIGO</w:t>
          </w:r>
          <w:r>
            <w:rPr>
              <w:color w:val="3366FF"/>
              <w:sz w:val="16"/>
              <w:szCs w:val="16"/>
            </w:rPr>
            <w:t xml:space="preserve">: </w:t>
          </w:r>
          <w:r>
            <w:rPr>
              <w:sz w:val="16"/>
              <w:szCs w:val="16"/>
            </w:rPr>
            <w:t>GNV-FO-001</w:t>
          </w:r>
        </w:p>
      </w:tc>
    </w:tr>
    <w:tr w:rsidR="00C823F0">
      <w:trPr>
        <w:trHeight w:val="454"/>
      </w:trPr>
      <w:tc>
        <w:tcPr>
          <w:tcW w:w="2361" w:type="dxa"/>
          <w:vMerge/>
          <w:tcBorders>
            <w:top w:val="single" w:sz="4" w:space="0" w:color="000000"/>
            <w:left w:val="single" w:sz="4" w:space="0" w:color="000000"/>
            <w:bottom w:val="single" w:sz="4" w:space="0" w:color="000000"/>
            <w:right w:val="single" w:sz="4" w:space="0" w:color="000000"/>
          </w:tcBorders>
          <w:vAlign w:val="center"/>
        </w:tcPr>
        <w:p w:rsidR="00C823F0" w:rsidRDefault="00C823F0">
          <w:pPr>
            <w:widowControl w:val="0"/>
            <w:spacing w:line="276" w:lineRule="auto"/>
            <w:rPr>
              <w:sz w:val="16"/>
              <w:szCs w:val="16"/>
            </w:rPr>
          </w:pPr>
        </w:p>
      </w:tc>
      <w:tc>
        <w:tcPr>
          <w:tcW w:w="4235" w:type="dxa"/>
          <w:vMerge w:val="restart"/>
          <w:tcBorders>
            <w:top w:val="single" w:sz="4" w:space="0" w:color="000000"/>
            <w:left w:val="single" w:sz="4" w:space="0" w:color="000000"/>
            <w:bottom w:val="single" w:sz="4" w:space="0" w:color="000000"/>
            <w:right w:val="single" w:sz="4" w:space="0" w:color="000000"/>
          </w:tcBorders>
          <w:vAlign w:val="center"/>
        </w:tcPr>
        <w:p w:rsidR="00C823F0" w:rsidRDefault="00867828">
          <w:pPr>
            <w:jc w:val="center"/>
            <w:rPr>
              <w:sz w:val="20"/>
              <w:szCs w:val="20"/>
            </w:rPr>
          </w:pPr>
          <w:r>
            <w:rPr>
              <w:sz w:val="20"/>
              <w:szCs w:val="20"/>
            </w:rPr>
            <w:t>PRESENTACIÓN PROYECTOS DE ACUERDO</w:t>
          </w:r>
        </w:p>
      </w:tc>
      <w:tc>
        <w:tcPr>
          <w:tcW w:w="2234" w:type="dxa"/>
          <w:tcBorders>
            <w:top w:val="single" w:sz="4" w:space="0" w:color="000000"/>
            <w:left w:val="single" w:sz="4" w:space="0" w:color="000000"/>
            <w:bottom w:val="single" w:sz="4" w:space="0" w:color="000000"/>
            <w:right w:val="single" w:sz="4" w:space="0" w:color="000000"/>
          </w:tcBorders>
          <w:vAlign w:val="center"/>
        </w:tcPr>
        <w:p w:rsidR="00C823F0" w:rsidRDefault="00867828">
          <w:pPr>
            <w:rPr>
              <w:sz w:val="16"/>
              <w:szCs w:val="16"/>
            </w:rPr>
          </w:pPr>
          <w:r>
            <w:rPr>
              <w:sz w:val="16"/>
              <w:szCs w:val="16"/>
            </w:rPr>
            <w:t>VERSIÓN:    02</w:t>
          </w:r>
        </w:p>
      </w:tc>
    </w:tr>
    <w:tr w:rsidR="00C823F0">
      <w:trPr>
        <w:trHeight w:val="454"/>
      </w:trPr>
      <w:tc>
        <w:tcPr>
          <w:tcW w:w="2361" w:type="dxa"/>
          <w:vMerge/>
          <w:tcBorders>
            <w:top w:val="single" w:sz="4" w:space="0" w:color="000000"/>
            <w:left w:val="single" w:sz="4" w:space="0" w:color="000000"/>
            <w:right w:val="single" w:sz="4" w:space="0" w:color="000000"/>
          </w:tcBorders>
          <w:vAlign w:val="center"/>
        </w:tcPr>
        <w:p w:rsidR="00C823F0" w:rsidRDefault="00C823F0">
          <w:pPr>
            <w:widowControl w:val="0"/>
            <w:spacing w:line="276" w:lineRule="auto"/>
            <w:rPr>
              <w:sz w:val="16"/>
              <w:szCs w:val="16"/>
            </w:rPr>
          </w:pPr>
        </w:p>
      </w:tc>
      <w:tc>
        <w:tcPr>
          <w:tcW w:w="4235" w:type="dxa"/>
          <w:vMerge/>
          <w:tcBorders>
            <w:top w:val="single" w:sz="4" w:space="0" w:color="000000"/>
            <w:left w:val="single" w:sz="4" w:space="0" w:color="000000"/>
            <w:right w:val="single" w:sz="4" w:space="0" w:color="000000"/>
          </w:tcBorders>
          <w:vAlign w:val="center"/>
        </w:tcPr>
        <w:p w:rsidR="00C823F0" w:rsidRDefault="00C823F0">
          <w:pPr>
            <w:widowControl w:val="0"/>
            <w:spacing w:line="276" w:lineRule="auto"/>
            <w:rPr>
              <w:sz w:val="16"/>
              <w:szCs w:val="16"/>
            </w:rPr>
          </w:pPr>
        </w:p>
      </w:tc>
      <w:tc>
        <w:tcPr>
          <w:tcW w:w="2234" w:type="dxa"/>
          <w:tcBorders>
            <w:top w:val="single" w:sz="4" w:space="0" w:color="000000"/>
            <w:left w:val="single" w:sz="4" w:space="0" w:color="000000"/>
            <w:bottom w:val="single" w:sz="4" w:space="0" w:color="000000"/>
            <w:right w:val="single" w:sz="4" w:space="0" w:color="000000"/>
          </w:tcBorders>
          <w:vAlign w:val="center"/>
        </w:tcPr>
        <w:p w:rsidR="00C823F0" w:rsidRDefault="00867828">
          <w:pPr>
            <w:rPr>
              <w:sz w:val="16"/>
              <w:szCs w:val="16"/>
            </w:rPr>
          </w:pPr>
          <w:r>
            <w:rPr>
              <w:sz w:val="16"/>
              <w:szCs w:val="16"/>
            </w:rPr>
            <w:t>FECHA: 14-Nov-2019</w:t>
          </w:r>
        </w:p>
      </w:tc>
    </w:tr>
  </w:tbl>
  <w:p w:rsidR="00C823F0" w:rsidRDefault="00C823F0">
    <w:pPr>
      <w:tabs>
        <w:tab w:val="center" w:pos="4252"/>
        <w:tab w:val="right" w:pos="8504"/>
      </w:tabs>
      <w:rPr>
        <w:rFonts w:ascii="Times New Roman" w:eastAsia="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815765"/>
    <w:multiLevelType w:val="multilevel"/>
    <w:tmpl w:val="F056D65C"/>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15BD2892"/>
    <w:multiLevelType w:val="multilevel"/>
    <w:tmpl w:val="58169EA2"/>
    <w:lvl w:ilvl="0">
      <w:start w:val="1"/>
      <w:numFmt w:val="decimal"/>
      <w:lvlText w:val="%1."/>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6C88695A"/>
    <w:multiLevelType w:val="multilevel"/>
    <w:tmpl w:val="F8FEE1A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23F0"/>
    <w:rsid w:val="002841CC"/>
    <w:rsid w:val="002B65B1"/>
    <w:rsid w:val="002D36CF"/>
    <w:rsid w:val="00867828"/>
    <w:rsid w:val="00C203A1"/>
    <w:rsid w:val="00C823F0"/>
    <w:rsid w:val="00CD021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D0EE567-985C-4F36-9197-E60D9807DE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4"/>
        <w:szCs w:val="24"/>
        <w:lang w:val="es-ES"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D01BF"/>
    <w:rPr>
      <w:color w:val="000000"/>
    </w:rPr>
  </w:style>
  <w:style w:type="paragraph" w:styleId="Ttulo1">
    <w:name w:val="heading 1"/>
    <w:basedOn w:val="Normal"/>
    <w:next w:val="Normal"/>
    <w:link w:val="Ttulo1Car"/>
    <w:uiPriority w:val="9"/>
    <w:qFormat/>
    <w:rsid w:val="00AE7E3B"/>
    <w:pPr>
      <w:keepNext/>
      <w:jc w:val="center"/>
      <w:outlineLvl w:val="0"/>
    </w:pPr>
    <w:rPr>
      <w:rFonts w:ascii="Times New Roman" w:hAnsi="Times New Roman"/>
      <w:color w:val="auto"/>
      <w:lang w:val="es-MX"/>
    </w:rPr>
  </w:style>
  <w:style w:type="paragraph" w:styleId="Ttulo2">
    <w:name w:val="heading 2"/>
    <w:basedOn w:val="Normal"/>
    <w:next w:val="Normal"/>
    <w:link w:val="Ttulo2Car"/>
    <w:uiPriority w:val="9"/>
    <w:semiHidden/>
    <w:unhideWhenUsed/>
    <w:qFormat/>
    <w:rsid w:val="00AE7E3B"/>
    <w:pPr>
      <w:keepNext/>
      <w:outlineLvl w:val="1"/>
    </w:pPr>
    <w:rPr>
      <w:rFonts w:ascii="Times New Roman" w:hAnsi="Times New Roman"/>
      <w:color w:val="auto"/>
      <w:lang w:val="es-MX"/>
    </w:rPr>
  </w:style>
  <w:style w:type="paragraph" w:styleId="Ttulo3">
    <w:name w:val="heading 3"/>
    <w:basedOn w:val="Normal"/>
    <w:next w:val="Normal"/>
    <w:link w:val="Ttulo3Car"/>
    <w:uiPriority w:val="9"/>
    <w:semiHidden/>
    <w:unhideWhenUsed/>
    <w:qFormat/>
    <w:rsid w:val="00D514F0"/>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link w:val="Ttulo4Car"/>
    <w:uiPriority w:val="9"/>
    <w:semiHidden/>
    <w:unhideWhenUsed/>
    <w:qFormat/>
    <w:rsid w:val="00BD4F10"/>
    <w:pPr>
      <w:keepNext/>
      <w:spacing w:before="240" w:after="60"/>
      <w:outlineLvl w:val="3"/>
    </w:pPr>
    <w:rPr>
      <w:rFonts w:ascii="Times New Roman" w:hAnsi="Times New Roman"/>
      <w:b/>
      <w:bCs/>
      <w:color w:val="auto"/>
      <w:sz w:val="28"/>
      <w:szCs w:val="28"/>
    </w:rPr>
  </w:style>
  <w:style w:type="paragraph" w:styleId="Ttulo5">
    <w:name w:val="heading 5"/>
    <w:basedOn w:val="Normal"/>
    <w:next w:val="Normal"/>
    <w:link w:val="Ttulo5Car"/>
    <w:uiPriority w:val="9"/>
    <w:semiHidden/>
    <w:unhideWhenUsed/>
    <w:qFormat/>
    <w:rsid w:val="00776D41"/>
    <w:pPr>
      <w:keepNext/>
      <w:keepLines/>
      <w:spacing w:before="200"/>
      <w:outlineLvl w:val="4"/>
    </w:pPr>
    <w:rPr>
      <w:rFonts w:ascii="Cambria" w:hAnsi="Cambria"/>
      <w:color w:val="243F60"/>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Ttulo1Car">
    <w:name w:val="Título 1 Car"/>
    <w:basedOn w:val="Fuentedeprrafopredeter"/>
    <w:link w:val="Ttulo1"/>
    <w:uiPriority w:val="99"/>
    <w:locked/>
    <w:rsid w:val="0078358A"/>
    <w:rPr>
      <w:rFonts w:ascii="Cambria" w:hAnsi="Cambria" w:cs="Times New Roman"/>
      <w:b/>
      <w:bCs/>
      <w:color w:val="000000"/>
      <w:kern w:val="32"/>
      <w:sz w:val="32"/>
      <w:szCs w:val="32"/>
    </w:rPr>
  </w:style>
  <w:style w:type="character" w:customStyle="1" w:styleId="Ttulo2Car">
    <w:name w:val="Título 2 Car"/>
    <w:basedOn w:val="Fuentedeprrafopredeter"/>
    <w:link w:val="Ttulo2"/>
    <w:uiPriority w:val="99"/>
    <w:semiHidden/>
    <w:locked/>
    <w:rsid w:val="0078358A"/>
    <w:rPr>
      <w:rFonts w:ascii="Cambria" w:hAnsi="Cambria" w:cs="Times New Roman"/>
      <w:b/>
      <w:bCs/>
      <w:i/>
      <w:iCs/>
      <w:color w:val="000000"/>
      <w:sz w:val="28"/>
      <w:szCs w:val="28"/>
    </w:rPr>
  </w:style>
  <w:style w:type="character" w:customStyle="1" w:styleId="Ttulo4Car">
    <w:name w:val="Título 4 Car"/>
    <w:basedOn w:val="Fuentedeprrafopredeter"/>
    <w:link w:val="Ttulo4"/>
    <w:uiPriority w:val="99"/>
    <w:locked/>
    <w:rsid w:val="00BD4F10"/>
    <w:rPr>
      <w:rFonts w:cs="Times New Roman"/>
      <w:b/>
      <w:sz w:val="28"/>
      <w:lang w:val="es-ES" w:eastAsia="es-ES"/>
    </w:rPr>
  </w:style>
  <w:style w:type="character" w:customStyle="1" w:styleId="Ttulo5Car">
    <w:name w:val="Título 5 Car"/>
    <w:basedOn w:val="Fuentedeprrafopredeter"/>
    <w:link w:val="Ttulo5"/>
    <w:uiPriority w:val="99"/>
    <w:semiHidden/>
    <w:locked/>
    <w:rsid w:val="00776D41"/>
    <w:rPr>
      <w:rFonts w:ascii="Cambria" w:hAnsi="Cambria" w:cs="Times New Roman"/>
      <w:color w:val="243F60"/>
      <w:sz w:val="24"/>
      <w:lang w:val="es-ES" w:eastAsia="es-ES"/>
    </w:rPr>
  </w:style>
  <w:style w:type="paragraph" w:styleId="Encabezado">
    <w:name w:val="header"/>
    <w:basedOn w:val="Normal"/>
    <w:link w:val="EncabezadoCar"/>
    <w:uiPriority w:val="99"/>
    <w:rsid w:val="00AE7E3B"/>
    <w:pPr>
      <w:tabs>
        <w:tab w:val="center" w:pos="4252"/>
        <w:tab w:val="right" w:pos="8504"/>
      </w:tabs>
    </w:pPr>
  </w:style>
  <w:style w:type="character" w:customStyle="1" w:styleId="EncabezadoCar">
    <w:name w:val="Encabezado Car"/>
    <w:basedOn w:val="Fuentedeprrafopredeter"/>
    <w:link w:val="Encabezado"/>
    <w:uiPriority w:val="99"/>
    <w:semiHidden/>
    <w:locked/>
    <w:rsid w:val="0078358A"/>
    <w:rPr>
      <w:rFonts w:ascii="Arial" w:hAnsi="Arial" w:cs="Times New Roman"/>
      <w:color w:val="000000"/>
      <w:sz w:val="20"/>
      <w:szCs w:val="20"/>
    </w:rPr>
  </w:style>
  <w:style w:type="paragraph" w:styleId="Piedepgina">
    <w:name w:val="footer"/>
    <w:basedOn w:val="Normal"/>
    <w:link w:val="PiedepginaCar"/>
    <w:rsid w:val="00AE7E3B"/>
    <w:pPr>
      <w:tabs>
        <w:tab w:val="center" w:pos="4252"/>
        <w:tab w:val="right" w:pos="8504"/>
      </w:tabs>
    </w:pPr>
  </w:style>
  <w:style w:type="character" w:customStyle="1" w:styleId="PiedepginaCar">
    <w:name w:val="Pie de página Car"/>
    <w:basedOn w:val="Fuentedeprrafopredeter"/>
    <w:link w:val="Piedepgina"/>
    <w:locked/>
    <w:rsid w:val="0078358A"/>
    <w:rPr>
      <w:rFonts w:ascii="Arial" w:hAnsi="Arial" w:cs="Times New Roman"/>
      <w:color w:val="000000"/>
      <w:sz w:val="20"/>
      <w:szCs w:val="20"/>
    </w:rPr>
  </w:style>
  <w:style w:type="paragraph" w:styleId="Textoindependiente">
    <w:name w:val="Body Text"/>
    <w:basedOn w:val="Normal"/>
    <w:link w:val="TextoindependienteCar"/>
    <w:uiPriority w:val="99"/>
    <w:rsid w:val="00AE7E3B"/>
    <w:pPr>
      <w:jc w:val="both"/>
    </w:pPr>
    <w:rPr>
      <w:rFonts w:ascii="Times New Roman" w:hAnsi="Times New Roman"/>
      <w:color w:val="auto"/>
      <w:lang w:val="es-MX"/>
    </w:rPr>
  </w:style>
  <w:style w:type="character" w:customStyle="1" w:styleId="TextoindependienteCar">
    <w:name w:val="Texto independiente Car"/>
    <w:basedOn w:val="Fuentedeprrafopredeter"/>
    <w:link w:val="Textoindependiente"/>
    <w:uiPriority w:val="99"/>
    <w:semiHidden/>
    <w:locked/>
    <w:rsid w:val="0078358A"/>
    <w:rPr>
      <w:rFonts w:ascii="Arial" w:hAnsi="Arial" w:cs="Times New Roman"/>
      <w:color w:val="000000"/>
      <w:sz w:val="20"/>
      <w:szCs w:val="20"/>
    </w:rPr>
  </w:style>
  <w:style w:type="character" w:styleId="Refdecomentario">
    <w:name w:val="annotation reference"/>
    <w:basedOn w:val="Fuentedeprrafopredeter"/>
    <w:uiPriority w:val="99"/>
    <w:semiHidden/>
    <w:rsid w:val="00AE7E3B"/>
    <w:rPr>
      <w:rFonts w:cs="Times New Roman"/>
      <w:sz w:val="16"/>
    </w:rPr>
  </w:style>
  <w:style w:type="paragraph" w:styleId="Textocomentario">
    <w:name w:val="annotation text"/>
    <w:basedOn w:val="Normal"/>
    <w:link w:val="TextocomentarioCar"/>
    <w:uiPriority w:val="99"/>
    <w:semiHidden/>
    <w:rsid w:val="00AE7E3B"/>
    <w:rPr>
      <w:sz w:val="20"/>
    </w:rPr>
  </w:style>
  <w:style w:type="character" w:customStyle="1" w:styleId="TextocomentarioCar">
    <w:name w:val="Texto comentario Car"/>
    <w:basedOn w:val="Fuentedeprrafopredeter"/>
    <w:link w:val="Textocomentario"/>
    <w:uiPriority w:val="99"/>
    <w:semiHidden/>
    <w:locked/>
    <w:rsid w:val="0078358A"/>
    <w:rPr>
      <w:rFonts w:ascii="Arial" w:hAnsi="Arial" w:cs="Times New Roman"/>
      <w:color w:val="000000"/>
      <w:sz w:val="20"/>
      <w:szCs w:val="20"/>
    </w:rPr>
  </w:style>
  <w:style w:type="table" w:styleId="Tablaconcuadrcula">
    <w:name w:val="Table Grid"/>
    <w:basedOn w:val="Tablanormal"/>
    <w:uiPriority w:val="99"/>
    <w:rsid w:val="00C52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basedOn w:val="Fuentedeprrafopredeter"/>
    <w:uiPriority w:val="99"/>
    <w:rsid w:val="000844A8"/>
    <w:rPr>
      <w:rFonts w:cs="Times New Roman"/>
      <w:color w:val="0000FF"/>
      <w:u w:val="single"/>
    </w:rPr>
  </w:style>
  <w:style w:type="character" w:styleId="Nmerodepgina">
    <w:name w:val="page number"/>
    <w:basedOn w:val="Fuentedeprrafopredeter"/>
    <w:uiPriority w:val="99"/>
    <w:rsid w:val="00AD4793"/>
    <w:rPr>
      <w:rFonts w:cs="Times New Roman"/>
    </w:rPr>
  </w:style>
  <w:style w:type="paragraph" w:styleId="Textoindependiente2">
    <w:name w:val="Body Text 2"/>
    <w:basedOn w:val="Normal"/>
    <w:link w:val="Textoindependiente2Car"/>
    <w:uiPriority w:val="99"/>
    <w:rsid w:val="007B133B"/>
    <w:pPr>
      <w:spacing w:after="120" w:line="480" w:lineRule="auto"/>
    </w:pPr>
    <w:rPr>
      <w:rFonts w:ascii="Times New Roman" w:hAnsi="Times New Roman"/>
      <w:color w:val="auto"/>
    </w:rPr>
  </w:style>
  <w:style w:type="character" w:customStyle="1" w:styleId="Textoindependiente2Car">
    <w:name w:val="Texto independiente 2 Car"/>
    <w:basedOn w:val="Fuentedeprrafopredeter"/>
    <w:link w:val="Textoindependiente2"/>
    <w:uiPriority w:val="99"/>
    <w:semiHidden/>
    <w:locked/>
    <w:rsid w:val="0078358A"/>
    <w:rPr>
      <w:rFonts w:ascii="Arial" w:hAnsi="Arial" w:cs="Times New Roman"/>
      <w:color w:val="000000"/>
      <w:sz w:val="20"/>
      <w:szCs w:val="20"/>
    </w:rPr>
  </w:style>
  <w:style w:type="paragraph" w:styleId="Textoindependiente3">
    <w:name w:val="Body Text 3"/>
    <w:basedOn w:val="Normal"/>
    <w:link w:val="Textoindependiente3Car"/>
    <w:uiPriority w:val="99"/>
    <w:rsid w:val="00840C8F"/>
    <w:pPr>
      <w:spacing w:after="120"/>
    </w:pPr>
    <w:rPr>
      <w:sz w:val="16"/>
      <w:szCs w:val="16"/>
    </w:rPr>
  </w:style>
  <w:style w:type="character" w:customStyle="1" w:styleId="Textoindependiente3Car">
    <w:name w:val="Texto independiente 3 Car"/>
    <w:basedOn w:val="Fuentedeprrafopredeter"/>
    <w:link w:val="Textoindependiente3"/>
    <w:uiPriority w:val="99"/>
    <w:semiHidden/>
    <w:locked/>
    <w:rsid w:val="0078358A"/>
    <w:rPr>
      <w:rFonts w:ascii="Arial" w:hAnsi="Arial" w:cs="Times New Roman"/>
      <w:color w:val="000000"/>
      <w:sz w:val="16"/>
      <w:szCs w:val="16"/>
    </w:rPr>
  </w:style>
  <w:style w:type="paragraph" w:styleId="Textodeglobo">
    <w:name w:val="Balloon Text"/>
    <w:basedOn w:val="Normal"/>
    <w:link w:val="TextodegloboCar"/>
    <w:uiPriority w:val="99"/>
    <w:semiHidden/>
    <w:rsid w:val="00DD7435"/>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78358A"/>
    <w:rPr>
      <w:rFonts w:cs="Times New Roman"/>
      <w:color w:val="000000"/>
      <w:sz w:val="2"/>
    </w:rPr>
  </w:style>
  <w:style w:type="paragraph" w:styleId="Prrafodelista">
    <w:name w:val="List Paragraph"/>
    <w:aliases w:val="Ha,Resume Title"/>
    <w:basedOn w:val="Normal"/>
    <w:link w:val="PrrafodelistaCar"/>
    <w:uiPriority w:val="34"/>
    <w:qFormat/>
    <w:rsid w:val="005C3311"/>
    <w:pPr>
      <w:ind w:left="708"/>
    </w:pPr>
  </w:style>
  <w:style w:type="paragraph" w:customStyle="1" w:styleId="Table">
    <w:name w:val="Table"/>
    <w:basedOn w:val="Normal"/>
    <w:autoRedefine/>
    <w:uiPriority w:val="99"/>
    <w:rsid w:val="006F04EF"/>
    <w:pPr>
      <w:spacing w:before="40" w:after="40"/>
      <w:ind w:left="4" w:hanging="4"/>
    </w:pPr>
    <w:rPr>
      <w:b/>
      <w:sz w:val="20"/>
      <w:lang w:val="en-GB" w:eastAsia="en-US"/>
    </w:rPr>
  </w:style>
  <w:style w:type="paragraph" w:customStyle="1" w:styleId="Textoindependiente21">
    <w:name w:val="Texto independiente 21"/>
    <w:basedOn w:val="Normal"/>
    <w:rsid w:val="00CE2305"/>
    <w:pPr>
      <w:suppressAutoHyphens/>
      <w:jc w:val="center"/>
    </w:pPr>
    <w:rPr>
      <w:color w:val="auto"/>
      <w:spacing w:val="-3"/>
      <w:lang w:val="es-ES_tradnl"/>
    </w:rPr>
  </w:style>
  <w:style w:type="paragraph" w:customStyle="1" w:styleId="Textodenotaalfinal">
    <w:name w:val="Texto de nota al final"/>
    <w:basedOn w:val="Normal"/>
    <w:rsid w:val="00CE2305"/>
    <w:pPr>
      <w:widowControl w:val="0"/>
      <w:autoSpaceDE w:val="0"/>
      <w:autoSpaceDN w:val="0"/>
    </w:pPr>
    <w:rPr>
      <w:rFonts w:ascii="Courier New" w:hAnsi="Courier New"/>
      <w:color w:val="auto"/>
    </w:rPr>
  </w:style>
  <w:style w:type="paragraph" w:styleId="Sinespaciado">
    <w:name w:val="No Spacing"/>
    <w:link w:val="SinespaciadoCar"/>
    <w:uiPriority w:val="1"/>
    <w:qFormat/>
    <w:rsid w:val="00CE2305"/>
  </w:style>
  <w:style w:type="paragraph" w:customStyle="1" w:styleId="EpgrafeSUBTITULO2">
    <w:name w:val="Epígrafe SUBTITULO 2"/>
    <w:basedOn w:val="Normal"/>
    <w:next w:val="Normal"/>
    <w:qFormat/>
    <w:rsid w:val="00CE2305"/>
    <w:pPr>
      <w:spacing w:before="240" w:after="60"/>
      <w:jc w:val="center"/>
      <w:outlineLvl w:val="0"/>
    </w:pPr>
    <w:rPr>
      <w:rFonts w:ascii="Times New Roman" w:hAnsi="Times New Roman"/>
      <w:b/>
      <w:bCs/>
      <w:color w:val="auto"/>
      <w:kern w:val="28"/>
      <w:sz w:val="28"/>
      <w:szCs w:val="32"/>
      <w:lang w:eastAsia="es-MX"/>
    </w:rPr>
  </w:style>
  <w:style w:type="paragraph" w:customStyle="1" w:styleId="Default">
    <w:name w:val="Default"/>
    <w:rsid w:val="00CE2305"/>
    <w:pPr>
      <w:autoSpaceDE w:val="0"/>
      <w:autoSpaceDN w:val="0"/>
      <w:adjustRightInd w:val="0"/>
    </w:pPr>
    <w:rPr>
      <w:rFonts w:eastAsia="Calibri"/>
      <w:color w:val="000000"/>
      <w:lang w:val="es-CO" w:eastAsia="en-US"/>
    </w:rPr>
  </w:style>
  <w:style w:type="paragraph" w:styleId="Textonotaalfinal">
    <w:name w:val="endnote text"/>
    <w:basedOn w:val="Normal"/>
    <w:link w:val="TextonotaalfinalCar"/>
    <w:uiPriority w:val="99"/>
    <w:semiHidden/>
    <w:unhideWhenUsed/>
    <w:rsid w:val="0013712E"/>
    <w:rPr>
      <w:sz w:val="20"/>
    </w:rPr>
  </w:style>
  <w:style w:type="character" w:customStyle="1" w:styleId="TextonotaalfinalCar">
    <w:name w:val="Texto nota al final Car"/>
    <w:basedOn w:val="Fuentedeprrafopredeter"/>
    <w:link w:val="Textonotaalfinal"/>
    <w:uiPriority w:val="99"/>
    <w:semiHidden/>
    <w:rsid w:val="0013712E"/>
    <w:rPr>
      <w:rFonts w:ascii="Arial" w:hAnsi="Arial"/>
      <w:color w:val="000000"/>
    </w:rPr>
  </w:style>
  <w:style w:type="character" w:styleId="Refdenotaalfinal">
    <w:name w:val="endnote reference"/>
    <w:basedOn w:val="Fuentedeprrafopredeter"/>
    <w:uiPriority w:val="99"/>
    <w:semiHidden/>
    <w:unhideWhenUsed/>
    <w:rsid w:val="0013712E"/>
    <w:rPr>
      <w:vertAlign w:val="superscript"/>
    </w:rPr>
  </w:style>
  <w:style w:type="paragraph" w:styleId="Textonotapie">
    <w:name w:val="footnote text"/>
    <w:aliases w:val="Footnote Text Char Char Char Char Char,Footnote Text Char Char Char Char,Footnote reference,FA Fu,texto de nota al pie,Footnote Text Char Char Char,FA Fuﬂnotentext,Footnote Text Cha,FA Fußnotentext,Footnote Text Char Ch,Ref. de nota al pi"/>
    <w:basedOn w:val="Normal"/>
    <w:link w:val="TextonotapieCar"/>
    <w:unhideWhenUsed/>
    <w:rsid w:val="0013712E"/>
    <w:rPr>
      <w:sz w:val="20"/>
    </w:rPr>
  </w:style>
  <w:style w:type="character" w:customStyle="1" w:styleId="TextonotapieCar">
    <w:name w:val="Texto nota pie Car"/>
    <w:aliases w:val="Footnote Text Char Char Char Char Char Car,Footnote Text Char Char Char Char Car,Footnote reference Car,FA Fu Car,texto de nota al pie Car,Footnote Text Char Char Char Car,FA Fuﬂnotentext Car,Footnote Text Cha Car,FA Fußnotentext Car"/>
    <w:basedOn w:val="Fuentedeprrafopredeter"/>
    <w:link w:val="Textonotapie"/>
    <w:rsid w:val="0013712E"/>
    <w:rPr>
      <w:rFonts w:ascii="Arial" w:hAnsi="Arial"/>
      <w:color w:val="000000"/>
    </w:rPr>
  </w:style>
  <w:style w:type="character" w:styleId="Refdenotaalpie">
    <w:name w:val="footnote reference"/>
    <w:basedOn w:val="Fuentedeprrafopredeter"/>
    <w:unhideWhenUsed/>
    <w:rsid w:val="0013712E"/>
    <w:rPr>
      <w:vertAlign w:val="superscript"/>
    </w:rPr>
  </w:style>
  <w:style w:type="character" w:customStyle="1" w:styleId="Mencinsinresolver1">
    <w:name w:val="Mención sin resolver1"/>
    <w:basedOn w:val="Fuentedeprrafopredeter"/>
    <w:uiPriority w:val="99"/>
    <w:semiHidden/>
    <w:unhideWhenUsed/>
    <w:rsid w:val="001D086B"/>
    <w:rPr>
      <w:color w:val="605E5C"/>
      <w:shd w:val="clear" w:color="auto" w:fill="E1DFDD"/>
    </w:rPr>
  </w:style>
  <w:style w:type="paragraph" w:styleId="NormalWeb">
    <w:name w:val="Normal (Web)"/>
    <w:basedOn w:val="Normal"/>
    <w:uiPriority w:val="99"/>
    <w:unhideWhenUsed/>
    <w:rsid w:val="00757235"/>
    <w:pPr>
      <w:spacing w:before="100" w:beforeAutospacing="1" w:after="100" w:afterAutospacing="1"/>
    </w:pPr>
    <w:rPr>
      <w:rFonts w:ascii="Times New Roman" w:hAnsi="Times New Roman"/>
      <w:color w:val="auto"/>
    </w:rPr>
  </w:style>
  <w:style w:type="character" w:styleId="Textoennegrita">
    <w:name w:val="Strong"/>
    <w:basedOn w:val="Fuentedeprrafopredeter"/>
    <w:uiPriority w:val="22"/>
    <w:qFormat/>
    <w:locked/>
    <w:rsid w:val="00757235"/>
    <w:rPr>
      <w:b/>
      <w:bCs/>
    </w:rPr>
  </w:style>
  <w:style w:type="character" w:customStyle="1" w:styleId="SinespaciadoCar">
    <w:name w:val="Sin espaciado Car"/>
    <w:link w:val="Sinespaciado"/>
    <w:uiPriority w:val="1"/>
    <w:locked/>
    <w:rsid w:val="00BD01BF"/>
    <w:rPr>
      <w:rFonts w:ascii="Arial" w:hAnsi="Arial"/>
      <w:sz w:val="24"/>
      <w:szCs w:val="24"/>
    </w:rPr>
  </w:style>
  <w:style w:type="paragraph" w:styleId="Asuntodelcomentario">
    <w:name w:val="annotation subject"/>
    <w:basedOn w:val="Textocomentario"/>
    <w:next w:val="Textocomentario"/>
    <w:link w:val="AsuntodelcomentarioCar"/>
    <w:uiPriority w:val="99"/>
    <w:semiHidden/>
    <w:unhideWhenUsed/>
    <w:rsid w:val="000E5F14"/>
    <w:rPr>
      <w:b/>
      <w:bCs/>
    </w:rPr>
  </w:style>
  <w:style w:type="character" w:customStyle="1" w:styleId="AsuntodelcomentarioCar">
    <w:name w:val="Asunto del comentario Car"/>
    <w:basedOn w:val="TextocomentarioCar"/>
    <w:link w:val="Asuntodelcomentario"/>
    <w:uiPriority w:val="99"/>
    <w:semiHidden/>
    <w:rsid w:val="000E5F14"/>
    <w:rPr>
      <w:rFonts w:ascii="Arial" w:hAnsi="Arial" w:cs="Times New Roman"/>
      <w:b/>
      <w:bCs/>
      <w:color w:val="000000"/>
      <w:sz w:val="20"/>
      <w:szCs w:val="20"/>
    </w:rPr>
  </w:style>
  <w:style w:type="character" w:customStyle="1" w:styleId="Ttulo3Car">
    <w:name w:val="Título 3 Car"/>
    <w:basedOn w:val="Fuentedeprrafopredeter"/>
    <w:link w:val="Ttulo3"/>
    <w:semiHidden/>
    <w:rsid w:val="00D514F0"/>
    <w:rPr>
      <w:rFonts w:asciiTheme="majorHAnsi" w:eastAsiaTheme="majorEastAsia" w:hAnsiTheme="majorHAnsi" w:cstheme="majorBidi"/>
      <w:color w:val="243F60" w:themeColor="accent1" w:themeShade="7F"/>
      <w:sz w:val="24"/>
      <w:szCs w:val="24"/>
    </w:rPr>
  </w:style>
  <w:style w:type="character" w:customStyle="1" w:styleId="PrrafodelistaCar">
    <w:name w:val="Párrafo de lista Car"/>
    <w:aliases w:val="Ha Car,Resume Title Car"/>
    <w:link w:val="Prrafodelista"/>
    <w:uiPriority w:val="34"/>
    <w:rsid w:val="00C63B6D"/>
    <w:rPr>
      <w:rFonts w:ascii="Arial" w:hAnsi="Arial"/>
      <w:color w:val="000000"/>
      <w:sz w:val="24"/>
    </w:rPr>
  </w:style>
  <w:style w:type="character" w:customStyle="1" w:styleId="cite-bracket">
    <w:name w:val="cite-bracket"/>
    <w:basedOn w:val="Fuentedeprrafopredeter"/>
    <w:rsid w:val="00712850"/>
  </w:style>
  <w:style w:type="character" w:customStyle="1" w:styleId="selectable-text">
    <w:name w:val="selectable-text"/>
    <w:basedOn w:val="Fuentedeprrafopredeter"/>
    <w:rsid w:val="00417E65"/>
  </w:style>
  <w:style w:type="character" w:styleId="nfasis">
    <w:name w:val="Emphasis"/>
    <w:basedOn w:val="Fuentedeprrafopredeter"/>
    <w:uiPriority w:val="20"/>
    <w:qFormat/>
    <w:locked/>
    <w:rsid w:val="00423001"/>
    <w:rPr>
      <w:i/>
      <w:iC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7.png"/><Relationship Id="rId26" Type="http://schemas.openxmlformats.org/officeDocument/2006/relationships/image" Target="media/image12.jpg"/><Relationship Id="rId3" Type="http://schemas.openxmlformats.org/officeDocument/2006/relationships/styles" Target="styles.xml"/><Relationship Id="rId21" Type="http://schemas.openxmlformats.org/officeDocument/2006/relationships/hyperlink" Target="https://culturarecreacionydeporte.gov.co/es/principal/noticias/petronio-alvarez-en-plaza-la-santamaria" TargetMode="External"/><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s://idpc.gov.co/intervencion-del-patrimonio/obras-de-intervencion-en-patrimonio/reforzamiento-plaza-de-toros-la-santamaria/" TargetMode="External"/><Relationship Id="rId17" Type="http://schemas.openxmlformats.org/officeDocument/2006/relationships/hyperlink" Target="https://www.canalcapital.gov.co/deportes/plaza-la-santamaria-sede-los-deportes-playa-el-festival-verano" TargetMode="External"/><Relationship Id="rId25" Type="http://schemas.openxmlformats.org/officeDocument/2006/relationships/image" Target="media/image11.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8.png"/><Relationship Id="rId29" Type="http://schemas.openxmlformats.org/officeDocument/2006/relationships/hyperlink" Target="https://www.funcionpublica.gov.co/eva/gestornormativo/norma.php?i=412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bogota.gov.co/mi-ciudad/cultura-deporte-y-recreacion/copa-davis-en-colombia-tendra-su-casa-en-la-santamaria" TargetMode="External"/><Relationship Id="rId23" Type="http://schemas.openxmlformats.org/officeDocument/2006/relationships/image" Target="media/image9.png"/><Relationship Id="rId28" Type="http://schemas.openxmlformats.org/officeDocument/2006/relationships/hyperlink" Target="https://www.funcionpublica.gov.co/eva/gestornormativo/norma.php?i=4125"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bogota.gov.co/mi-ciudad/cultura-recreacion-y-deporte/festival-de-verano-de-bogota-balonmano-playa-en-plaza-la-santamaria" TargetMode="External"/><Relationship Id="rId31" Type="http://schemas.openxmlformats.org/officeDocument/2006/relationships/hyperlink" Target="https://www.alcaldiabogota.gov.co/sisjur/normas/Norma1.jsp?i=81088" TargetMode="External"/><Relationship Id="rId4" Type="http://schemas.openxmlformats.org/officeDocument/2006/relationships/settings" Target="settings.xml"/><Relationship Id="rId9" Type="http://schemas.openxmlformats.org/officeDocument/2006/relationships/hyperlink" Target="https://idpc.gov.co/publicaciones/descargas/patrisostenible.pdf" TargetMode="External"/><Relationship Id="rId14" Type="http://schemas.openxmlformats.org/officeDocument/2006/relationships/image" Target="media/image5.png"/><Relationship Id="rId22" Type="http://schemas.openxmlformats.org/officeDocument/2006/relationships/hyperlink" Target="https://www.barcelona.cat/es/conocebcn/pics/las-arenas-99400267330" TargetMode="External"/><Relationship Id="rId27" Type="http://schemas.openxmlformats.org/officeDocument/2006/relationships/hyperlink" Target="https://revistaaxxis.com.co/arquitectura/restauracion-la-serrezuela-cartagena/" TargetMode="External"/><Relationship Id="rId30" Type="http://schemas.openxmlformats.org/officeDocument/2006/relationships/hyperlink" Target="https://www.funcionpublica.gov.co/eva/gestornormativo/norma.php?i=4125" TargetMode="External"/><Relationship Id="rId35" Type="http://schemas.openxmlformats.org/officeDocument/2006/relationships/fontTable" Target="fontTable.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5GT+7eXvbNydYDCbSptLT3dp/Q==">CgMxLjAyDmgubXA3cWVqNjIzOHNiMg5oLnAxNWZlNnAyanRtdzgAciExcGFkd3l6YVpjTkJlLW9CZXNHTkc3b3dWcUdyU2xPTk8=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5942</Words>
  <Characters>32686</Characters>
  <Application>Microsoft Office Word</Application>
  <DocSecurity>0</DocSecurity>
  <Lines>272</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38551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WILSON L. MORENO C.</dc:creator>
  <cp:lastModifiedBy>GLORIA INES CELY LUNA</cp:lastModifiedBy>
  <cp:revision>2</cp:revision>
  <dcterms:created xsi:type="dcterms:W3CDTF">2025-09-26T19:38:00Z</dcterms:created>
  <dcterms:modified xsi:type="dcterms:W3CDTF">2025-09-26T19:38:00Z</dcterms:modified>
</cp:coreProperties>
</file>